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建筑装饰工程计量与计价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一、报价清单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750"/>
        <w:gridCol w:w="1354"/>
        <w:gridCol w:w="1354"/>
        <w:gridCol w:w="1354"/>
        <w:gridCol w:w="1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个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1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课程明细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874"/>
        <w:gridCol w:w="5214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08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模块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4" w:type="dxa"/>
            <w:vMerge w:val="restart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建筑装饰工程计量与计价基础知识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建筑装饰工程概述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工程造价的含义及构成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建筑装饰工程费用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建筑装饰工程计价依据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定额原理-（《广西壮族自治区建筑装饰装修工程消耗量定额》2013组成、换算、应用）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工程量清单计价方法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74" w:type="dxa"/>
            <w:vMerge w:val="restart"/>
            <w:vAlign w:val="top"/>
          </w:tcPr>
          <w:p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建筑面积的计算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建筑面积计算概述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建筑面积计算规则（GB T50353-2013/广西壮族自治区建筑装饰装修工程消耗量定额-2013-建筑面积计算规则）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建筑面积计算案例应用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7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装饰工程量计算规则概述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装饰工程清单项目计算规则概述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74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分部分项工程量清单编制—楼地面工程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楼地面工程基础知识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整体楼地面及找平层工程量清单编制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块料楼地面工程量清单编制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踢脚线工程量清单编制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其他材料面层工程-木（复合)地板工程量清单编制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74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分部分项工程量清单编制—墙、柱面装修工程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墙、柱面装修工程基础知识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墙面抹灰工程量清单编制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镶贴零星块料工程量清单编制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柱面抹灰工程量清单编制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874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分部分项工程量清单编制—天棚工程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天棚工程基础知识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天棚抹灰工程量清单编制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天棚吊顶工程量清单编制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874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分部分项工程量清单编制—油漆、涂料、裱糊工程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油漆、涂料、裱糊工程基础知识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油漆工程（门、窗等）量清单编制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裱糊工程量清单编制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874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措施及其他项目清单编制—措施项目 清单计价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单价措施费计算（脚手架、模板）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总价措施费计算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874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措施及其他项目清单编制—其他项目 清单计价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暂列金额计算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87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暂估价计算（材料、专业工程）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措施及其他项目清单编制—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规费及税金项目清单计价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规费、增值税计算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br w:type="page"/>
      </w:r>
    </w:p>
    <w:p>
      <w:pPr>
        <w:pStyle w:val="5"/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三、技术参数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00"/>
        <w:gridCol w:w="7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1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</w:t>
            </w:r>
          </w:p>
        </w:tc>
        <w:tc>
          <w:tcPr>
            <w:tcW w:w="7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1.视频内容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(1)屏幕图像的构图合理，画面主体突出。人像及肢体动作以及配合讲授选用的板书、画板、教具实物、模型和实验设备等均不能超出镜头所及范围。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(2)授课视频的背景可采用彩色喷绘、电脑虚拟或现场实景等背景。背景的颜色、图案不易过多，应保持静态，画面应简洁、明快，有利于营造学习气氛。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(3)摄像镜头应保持与主讲教师目光平视的角度。主讲教师不应较长时间仰视或俯视。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(4)使用资料、图片、外景实拍、实验和表演等形象化教学手段，应符合教学内容要求，与讲授内容联系紧密，手段选用恰当。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(5)选用影视作品或自拍素材，应注明素材来源。影视作品或自拍素材中涉及人物访谈内容时，应加注人物介绍。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(6)选用的资料、图片等素材画面应清楚，对于历史资料、图片应进行再加工。选用的资料、图片等素材应注明素材来源及原始信息（如字画的作品、生卒年月，影视片断的作品名称、创作年代等信息）。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(7)动画的设计与使用，要与课程内容相贴切，能够发挥良好的教学效果。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(8)动画的实现须流畅、合理、图像清晰，具有较强的可视性。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2.视频技术规格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(1)视频信号源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①稳定性：全片图像同步性能稳定，无失步现象，图像无抖动跳跃，色彩无突变，编辑点处图像稳定。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②色调：白平衡正确，无明显偏色，多机拍摄的镜头衔接处无明显色差。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③画幅：建议采用 16:9，720p 或 1080p。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(2)音频信号源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①声道：教师讲授内容音频信号记录于第1声道，音乐、音效、同期声记录于第2声道，若有其他文字解说记录于第3声道(如录音设备无第3声道,则录于第2声道)。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②声音和画面要求同步，无交流声或其他杂音等缺陷。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③伴音清晰、饱满、圆润，无失真、噪声杂音干扰、音量忽大忽小现象。解说声与现场声无明显比例失调，解说声与背景音乐无明显比例失调。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(3)视频压缩格式及技术参数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①视频压缩采用 H.264/AVC (MPEG-4 Part10)编码、使用二次编码、不包含字幕的MP4 格式。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②视频码流率：动态码流的最低码率不得低于1024Kb。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③视频分辨率:前期采用高清16:9拍摄，请设定为1280×720或1920×1080。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④视频画幅宽高比:视频画幅宽高比为16:9，分辨率设定为1280×720或1920×1080。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⑤视频帧率为25帧/秒。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⑥扫描方式采用逐行扫描。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(4)音频压缩格式及技术参数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①音频压缩采用AAC(MPEG4 Part3)格式。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②采样率48KHz。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③音频码流率128Kbps(恒定)。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④必须是双声道，必须做混音处理。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(5)封装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①视频采用MP4封装，单个视频文件小于200MB。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  <w:t>②字幕文件采用SRT格式，中英文字幕需分成两个SRT文件。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ind w:right="63" w:rightChars="3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报价公司（公司名称）：                       联系人：                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43937"/>
    <w:multiLevelType w:val="singleLevel"/>
    <w:tmpl w:val="FE443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000000"/>
    <w:rsid w:val="02285E9D"/>
    <w:rsid w:val="02AF5C2D"/>
    <w:rsid w:val="02D21DDC"/>
    <w:rsid w:val="079537B1"/>
    <w:rsid w:val="079C59AE"/>
    <w:rsid w:val="0C4158E6"/>
    <w:rsid w:val="0D28015E"/>
    <w:rsid w:val="15CB3E0D"/>
    <w:rsid w:val="28AA0305"/>
    <w:rsid w:val="29423C7B"/>
    <w:rsid w:val="33BE799D"/>
    <w:rsid w:val="361242B0"/>
    <w:rsid w:val="36ED033F"/>
    <w:rsid w:val="391B2F09"/>
    <w:rsid w:val="3D46184F"/>
    <w:rsid w:val="50E769F7"/>
    <w:rsid w:val="519866AB"/>
    <w:rsid w:val="59707F6C"/>
    <w:rsid w:val="66BF77A5"/>
    <w:rsid w:val="68EC49D9"/>
    <w:rsid w:val="706A1AFA"/>
    <w:rsid w:val="74567956"/>
    <w:rsid w:val="753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宋体"/>
      <w:b/>
      <w:sz w:val="30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rFonts w:eastAsia="宋体" w:asciiTheme="minorAscii" w:hAnsiTheme="minorAscii"/>
      <w:b/>
      <w:sz w:val="28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jc w:val="left"/>
      <w:outlineLvl w:val="3"/>
    </w:pPr>
    <w:rPr>
      <w:rFonts w:ascii="Arial" w:hAnsi="Arial" w:eastAsia="宋体"/>
      <w:b/>
      <w:sz w:val="24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4"/>
    </w:pPr>
    <w:rPr>
      <w:rFonts w:eastAsia="宋体" w:asciiTheme="minorAscii" w:hAnsiTheme="minorAscii"/>
      <w:b/>
      <w:sz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240" w:lineRule="auto"/>
      <w:outlineLvl w:val="5"/>
    </w:pPr>
    <w:rPr>
      <w:rFonts w:ascii="Arial" w:hAnsi="Arial" w:eastAsia="宋体"/>
      <w:b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lock Text"/>
    <w:basedOn w:val="1"/>
    <w:next w:val="7"/>
    <w:qFormat/>
    <w:uiPriority w:val="0"/>
    <w:pPr>
      <w:kinsoku w:val="0"/>
      <w:autoSpaceDE w:val="0"/>
      <w:autoSpaceDN w:val="0"/>
      <w:adjustRightInd w:val="0"/>
      <w:snapToGrid w:val="0"/>
      <w:spacing w:line="500" w:lineRule="exact"/>
      <w:ind w:left="391" w:right="246"/>
      <w:jc w:val="left"/>
      <w:textAlignment w:val="baseline"/>
    </w:pPr>
    <w:rPr>
      <w:rFonts w:ascii="仿宋_GB2312" w:hAnsi="Arial" w:eastAsia="仿宋_GB2312" w:cs="Arial"/>
      <w:snapToGrid w:val="0"/>
      <w:color w:val="000000"/>
      <w:kern w:val="0"/>
      <w:sz w:val="24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文本"/>
    <w:basedOn w:val="1"/>
    <w:qFormat/>
    <w:uiPriority w:val="0"/>
    <w:pPr>
      <w:spacing w:line="360" w:lineRule="auto"/>
      <w:ind w:firstLine="883" w:firstLineChars="200"/>
      <w:jc w:val="left"/>
    </w:pPr>
    <w:rPr>
      <w:rFonts w:eastAsia="宋体" w:cs="Times New Roman" w:asciiTheme="minorAscii" w:hAnsiTheme="minorAscii"/>
      <w:sz w:val="24"/>
    </w:rPr>
  </w:style>
  <w:style w:type="paragraph" w:customStyle="1" w:styleId="15">
    <w:name w:val="表格文本"/>
    <w:basedOn w:val="1"/>
    <w:qFormat/>
    <w:uiPriority w:val="0"/>
    <w:pPr>
      <w:spacing w:line="360" w:lineRule="auto"/>
      <w:jc w:val="left"/>
    </w:pPr>
    <w:rPr>
      <w:rFonts w:eastAsia="宋体" w:cs="Times New Roman" w:asciiTheme="minorAscii" w:hAnsiTheme="minorAscii"/>
      <w:sz w:val="24"/>
      <w:szCs w:val="21"/>
    </w:rPr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表格文"/>
    <w:basedOn w:val="20"/>
    <w:qFormat/>
    <w:uiPriority w:val="0"/>
    <w:rPr>
      <w:rFonts w:eastAsia="宋体"/>
      <w:sz w:val="21"/>
      <w:lang w:eastAsia="zh-CN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1652</Words>
  <Characters>1833</Characters>
  <Lines>0</Lines>
  <Paragraphs>0</Paragraphs>
  <TotalTime>6</TotalTime>
  <ScaleCrop>false</ScaleCrop>
  <LinksUpToDate>false</LinksUpToDate>
  <CharactersWithSpaces>1844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2022-03-11T00:33:00Z</dcterms:created>
  <dc:creator>Administrator</dc:creator>
  <cp:lastModifiedBy>唐文显</cp:lastModifiedBy>
  <dcterms:modified xsi:type="dcterms:W3CDTF">2023-11-05T07:36:45Z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CBFABA5D613E48779DDF6B76F204D620_13</vt:lpwstr>
  </property>
</Properties>
</file>