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708"/>
        <w:gridCol w:w="6617"/>
        <w:gridCol w:w="406"/>
        <w:gridCol w:w="387"/>
        <w:gridCol w:w="753"/>
        <w:gridCol w:w="75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02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仓库虚拟仿真动画及教学微课视频制作清单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规格配置或技术参数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6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仓库虚拟仿真动画</w:t>
            </w:r>
          </w:p>
        </w:tc>
        <w:tc>
          <w:tcPr>
            <w:tcW w:w="6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一、内容描述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1.展示仓库四个场景的内容，点击鼠标左键可以实现场景切换。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场景一：货物入库。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场景二：货物分拣。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场景三：货物抽检。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场景四：货物出库。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2.有退出功能，点击界面右下角退出按钮键可以直接退出。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二、动画设计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动画时长90秒左右。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场景一：货物入库。货物通过滑道托盘输送到指定的区域。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场景二：货物分拣。分拣货物并输送到达该类货物的区域。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场景三：货物抽检。通过滑道托盘将需要检验的货物从货架取下输送到检测台。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场景四：货物出库。通过滑道托盘将需要出库的货物从货架取下输送到叉车上 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三、其他功能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1.能够良好地响应鼠标点击。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2.项目运行没有明显的掉帧卡顿现象。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教学微课视频制作</w:t>
            </w:r>
          </w:p>
        </w:tc>
        <w:tc>
          <w:tcPr>
            <w:tcW w:w="6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一、内容要求：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1.根据课程教学中某个知识点或教学环节进行设计讲课脚本，要求讲解精炼、路径合理、重点突出。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2.内容风趣、幽默、情境化，学生沉浸感强；适当提问，引发思考，留白，关键点重点提示；尽量减少视频中的干扰因素。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二、技术要求：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1.视频制作方式：选择教师出镜与PPT合成的方式，时长5—10分钟。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摄像拍摄要求视频压缩采用H.264格式编码，视频格式为MP4或FLV格式；视频码流率：动态码流的最高码率不高于2000Kbps，最低码率不得低于1024Kbps；视频质量要求图像稳定、对焦清晰、构图合理、镜头运用恰当；视频分辨率一般为设定为1920*1080、1280*720；在同一课程中，各讲的视频分辨率应统一，不得标清和高清混用；视频帧率为25帧/秒，扫描方式采用逐行扫描；声音采用双声道，要求清晰、饱满、圆润，无失真、噪声杂音干扰、音量忽大忽小现象。解说声与背景音乐无明显比例失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3.多媒体软件输出要求画质清晰、流畅，声音清晰，与画面同步；要求每个视频都使用单个文件输出，要能够在网上在线学习。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三、后期制作要求：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1.每段视频加片头和片尾；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 声音采用双声道，要求清晰、圆润、无杂音，音量适中饱满、解说与图像、背景音乐同步；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3.如用视频混合制作，采用与视频一致的分辨率，保证合成效果良好流畅。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00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合计金额：</w:t>
            </w:r>
          </w:p>
        </w:tc>
      </w:tr>
    </w:tbl>
    <w:p/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报价公司（公司名称）：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联系人：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联系电话：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DY0NGNkNTI1YzM1Y2YzN2NiZjlkMmRjZDE2NWUifQ=="/>
  </w:docVars>
  <w:rsids>
    <w:rsidRoot w:val="00000000"/>
    <w:rsid w:val="01075428"/>
    <w:rsid w:val="0810372D"/>
    <w:rsid w:val="1141257F"/>
    <w:rsid w:val="245770F0"/>
    <w:rsid w:val="3EBB6D46"/>
    <w:rsid w:val="49476893"/>
    <w:rsid w:val="4A2855BB"/>
    <w:rsid w:val="5DBA2154"/>
    <w:rsid w:val="63366FD9"/>
    <w:rsid w:val="75B8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2023-12-05T02:26:00Z</dcterms:created>
  <dc:creator>HMC</dc:creator>
  <cp:lastModifiedBy>唐文显</cp:lastModifiedBy>
  <dcterms:modified xsi:type="dcterms:W3CDTF">2023-12-09T07:44:13Z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E05BCA6143D640D38711007F86DB6723_13</vt:lpwstr>
  </property>
</Properties>
</file>