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广西南宁玖味源商贸有限公司</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二、合同货物：</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eastAsia="宋体"/>
          <w:color w:val="000000"/>
          <w:sz w:val="28"/>
          <w:szCs w:val="28"/>
          <w:lang w:eastAsia="zh-CN"/>
        </w:rPr>
      </w:pPr>
      <w:r>
        <w:rPr>
          <w:rFonts w:hint="eastAsia"/>
          <w:color w:val="000000"/>
          <w:sz w:val="28"/>
          <w:szCs w:val="28"/>
        </w:rPr>
        <w:t>1、甲方向乙方购买下表所列品牌、规格、单价的物资1批</w:t>
      </w:r>
      <w:r>
        <w:rPr>
          <w:rFonts w:hint="eastAsia"/>
          <w:color w:val="000000"/>
          <w:sz w:val="28"/>
          <w:szCs w:val="28"/>
          <w:lang w:eastAsia="zh-CN"/>
        </w:rPr>
        <w:t>，具体清单见</w:t>
      </w:r>
      <w:r>
        <w:rPr>
          <w:rFonts w:hint="eastAsia"/>
          <w:color w:val="000000"/>
          <w:sz w:val="28"/>
          <w:szCs w:val="28"/>
        </w:rPr>
        <w:t>中标货物明细一览表</w:t>
      </w:r>
      <w:r>
        <w:rPr>
          <w:rFonts w:hint="eastAsia"/>
          <w:color w:val="000000"/>
          <w:sz w:val="28"/>
          <w:szCs w:val="28"/>
          <w:lang w:eastAsia="zh-CN"/>
        </w:rPr>
        <w:t>（附件）。</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G</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：食用油类</w:t>
      </w:r>
    </w:p>
    <w:tbl>
      <w:tblPr>
        <w:tblStyle w:val="3"/>
        <w:tblW w:w="9008" w:type="dxa"/>
        <w:tblInd w:w="2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2480"/>
        <w:gridCol w:w="1765"/>
        <w:gridCol w:w="1305"/>
        <w:gridCol w:w="2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4" w:hRule="atLeast"/>
        </w:trPr>
        <w:tc>
          <w:tcPr>
            <w:tcW w:w="1223" w:type="dxa"/>
            <w:noWrap w:val="0"/>
            <w:vAlign w:val="center"/>
          </w:tcPr>
          <w:p>
            <w:pPr>
              <w:spacing w:line="440" w:lineRule="exact"/>
              <w:ind w:right="-82" w:rightChars="-39"/>
              <w:jc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eastAsia="zh-CN"/>
              </w:rPr>
              <w:t>品类名称</w:t>
            </w:r>
          </w:p>
        </w:tc>
        <w:tc>
          <w:tcPr>
            <w:tcW w:w="2480"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品质要求</w:t>
            </w:r>
          </w:p>
        </w:tc>
        <w:tc>
          <w:tcPr>
            <w:tcW w:w="1765"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sz w:val="24"/>
                <w:szCs w:val="24"/>
              </w:rPr>
            </w:pPr>
            <w:r>
              <w:rPr>
                <w:rFonts w:hint="eastAsia" w:ascii="宋体" w:hAnsi="宋体" w:cs="宋体"/>
                <w:b w:val="0"/>
                <w:bCs w:val="0"/>
                <w:color w:val="000000"/>
                <w:sz w:val="24"/>
                <w:szCs w:val="24"/>
                <w:lang w:eastAsia="zh-CN"/>
              </w:rPr>
              <w:t>包装</w:t>
            </w:r>
            <w:r>
              <w:rPr>
                <w:rFonts w:hint="eastAsia" w:ascii="宋体" w:hAnsi="宋体" w:eastAsia="宋体" w:cs="宋体"/>
                <w:b w:val="0"/>
                <w:bCs w:val="0"/>
                <w:color w:val="000000"/>
                <w:sz w:val="24"/>
                <w:szCs w:val="24"/>
              </w:rPr>
              <w:t>规格</w:t>
            </w:r>
          </w:p>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w w:val="95"/>
                <w:sz w:val="24"/>
                <w:szCs w:val="24"/>
                <w:lang w:eastAsia="zh-CN"/>
              </w:rPr>
              <w:t>（公斤</w:t>
            </w:r>
            <w:r>
              <w:rPr>
                <w:rFonts w:hint="eastAsia" w:ascii="宋体" w:hAnsi="宋体" w:eastAsia="宋体" w:cs="宋体"/>
                <w:b w:val="0"/>
                <w:bCs w:val="0"/>
                <w:color w:val="000000"/>
                <w:w w:val="95"/>
                <w:sz w:val="24"/>
                <w:szCs w:val="24"/>
                <w:lang w:val="en-US" w:eastAsia="zh-CN"/>
              </w:rPr>
              <w:t>/件</w:t>
            </w:r>
            <w:r>
              <w:rPr>
                <w:rFonts w:hint="eastAsia" w:ascii="宋体" w:hAnsi="宋体" w:eastAsia="宋体" w:cs="宋体"/>
                <w:b w:val="0"/>
                <w:bCs w:val="0"/>
                <w:color w:val="000000"/>
                <w:w w:val="95"/>
                <w:sz w:val="24"/>
                <w:szCs w:val="24"/>
                <w:lang w:eastAsia="zh-CN"/>
              </w:rPr>
              <w:t>）</w:t>
            </w:r>
          </w:p>
        </w:tc>
        <w:tc>
          <w:tcPr>
            <w:tcW w:w="1305"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cs="宋体"/>
                <w:b w:val="0"/>
                <w:bCs w:val="0"/>
                <w:color w:val="000000"/>
                <w:sz w:val="24"/>
                <w:szCs w:val="24"/>
                <w:lang w:eastAsia="zh-CN"/>
              </w:rPr>
              <w:t>采购</w:t>
            </w:r>
            <w:r>
              <w:rPr>
                <w:rFonts w:hint="eastAsia" w:ascii="宋体" w:hAnsi="宋体" w:eastAsia="宋体" w:cs="宋体"/>
                <w:b w:val="0"/>
                <w:bCs w:val="0"/>
                <w:color w:val="000000"/>
                <w:sz w:val="24"/>
                <w:szCs w:val="24"/>
              </w:rPr>
              <w:t>数量</w:t>
            </w:r>
          </w:p>
        </w:tc>
        <w:tc>
          <w:tcPr>
            <w:tcW w:w="2235"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包装要求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47" w:hRule="atLeast"/>
        </w:trPr>
        <w:tc>
          <w:tcPr>
            <w:tcW w:w="1223" w:type="dxa"/>
            <w:noWrap w:val="0"/>
            <w:vAlign w:val="center"/>
          </w:tcPr>
          <w:p>
            <w:pPr>
              <w:spacing w:line="440" w:lineRule="exact"/>
              <w:ind w:right="-82" w:rightChars="-39"/>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食用油</w:t>
            </w:r>
          </w:p>
        </w:tc>
        <w:tc>
          <w:tcPr>
            <w:tcW w:w="2480" w:type="dxa"/>
            <w:tcBorders>
              <w:left w:val="single" w:color="auto" w:sz="4" w:space="0"/>
            </w:tcBorders>
            <w:noWrap w:val="0"/>
            <w:vAlign w:val="center"/>
          </w:tcPr>
          <w:p>
            <w:pPr>
              <w:spacing w:line="440" w:lineRule="exact"/>
              <w:ind w:right="-82" w:rightChars="-39"/>
              <w:jc w:val="left"/>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lang w:eastAsia="zh-CN"/>
              </w:rPr>
              <w:t>产品须为中粮集团、中储粮集团、益海嘉里集团、鲁花集团生产的产品。</w:t>
            </w:r>
          </w:p>
        </w:tc>
        <w:tc>
          <w:tcPr>
            <w:tcW w:w="1765" w:type="dxa"/>
            <w:tcBorders>
              <w:left w:val="single" w:color="auto" w:sz="4" w:space="0"/>
            </w:tcBorders>
            <w:noWrap w:val="0"/>
            <w:vAlign w:val="center"/>
          </w:tcPr>
          <w:p>
            <w:pPr>
              <w:spacing w:line="440" w:lineRule="exact"/>
              <w:ind w:right="-82" w:rightChars="-39"/>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净重≤2</w:t>
            </w:r>
            <w:r>
              <w:rPr>
                <w:rFonts w:hint="eastAsia" w:ascii="宋体" w:hAnsi="宋体" w:cs="宋体"/>
                <w:color w:val="000000"/>
                <w:sz w:val="24"/>
                <w:szCs w:val="24"/>
                <w:lang w:val="en-US" w:eastAsia="zh-CN"/>
              </w:rPr>
              <w:t>2升</w:t>
            </w:r>
            <w:r>
              <w:rPr>
                <w:rFonts w:hint="eastAsia" w:ascii="宋体" w:hAnsi="宋体" w:eastAsia="宋体" w:cs="宋体"/>
                <w:color w:val="000000"/>
                <w:sz w:val="24"/>
                <w:szCs w:val="24"/>
              </w:rPr>
              <w:t>/</w:t>
            </w:r>
            <w:r>
              <w:rPr>
                <w:rFonts w:hint="eastAsia" w:ascii="宋体" w:hAnsi="宋体" w:cs="宋体"/>
                <w:color w:val="000000"/>
                <w:sz w:val="24"/>
                <w:szCs w:val="24"/>
                <w:lang w:eastAsia="zh-CN"/>
              </w:rPr>
              <w:t>袋</w:t>
            </w:r>
            <w:r>
              <w:rPr>
                <w:rFonts w:hint="eastAsia" w:ascii="宋体" w:hAnsi="宋体" w:eastAsia="宋体" w:cs="宋体"/>
                <w:color w:val="000000"/>
                <w:sz w:val="24"/>
                <w:szCs w:val="24"/>
              </w:rPr>
              <w:t>包装</w:t>
            </w:r>
          </w:p>
        </w:tc>
        <w:tc>
          <w:tcPr>
            <w:tcW w:w="1305" w:type="dxa"/>
            <w:tcBorders>
              <w:left w:val="single" w:color="auto" w:sz="4" w:space="0"/>
            </w:tcBorders>
            <w:noWrap w:val="0"/>
            <w:vAlign w:val="center"/>
          </w:tcPr>
          <w:p>
            <w:pPr>
              <w:spacing w:line="440" w:lineRule="exact"/>
              <w:jc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lang w:eastAsia="zh-CN"/>
              </w:rPr>
              <w:t>按需供应</w:t>
            </w:r>
          </w:p>
        </w:tc>
        <w:tc>
          <w:tcPr>
            <w:tcW w:w="2235" w:type="dxa"/>
            <w:tcBorders>
              <w:left w:val="single" w:color="auto" w:sz="4" w:space="0"/>
            </w:tcBorders>
            <w:noWrap w:val="0"/>
            <w:vAlign w:val="center"/>
          </w:tcPr>
          <w:p>
            <w:pPr>
              <w:spacing w:line="440" w:lineRule="exact"/>
              <w:ind w:right="-82" w:rightChars="-39"/>
              <w:jc w:val="lef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包装完整，注册商标、厂名、厂址、质量等级、重量、S</w:t>
            </w:r>
            <w:r>
              <w:rPr>
                <w:rFonts w:hint="default" w:ascii="宋体" w:hAnsi="宋体" w:cs="宋体"/>
                <w:color w:val="000000"/>
                <w:sz w:val="24"/>
                <w:szCs w:val="24"/>
                <w:lang w:val="en-GB"/>
              </w:rPr>
              <w:t>C</w:t>
            </w:r>
            <w:r>
              <w:rPr>
                <w:rFonts w:hint="eastAsia" w:ascii="宋体" w:hAnsi="宋体" w:eastAsia="宋体" w:cs="宋体"/>
                <w:color w:val="000000"/>
                <w:sz w:val="24"/>
                <w:szCs w:val="24"/>
              </w:rPr>
              <w:t>证号等各类标识清</w:t>
            </w:r>
            <w:r>
              <w:rPr>
                <w:rFonts w:hint="eastAsia" w:ascii="宋体" w:hAnsi="宋体" w:cs="宋体"/>
                <w:color w:val="000000"/>
                <w:sz w:val="24"/>
                <w:szCs w:val="24"/>
                <w:lang w:eastAsia="zh-CN"/>
              </w:rPr>
              <w:t>楚。</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30天后以书面形式以当期市场批发价变动为依据提出价格调整，在3个工作日内，经双方协商确定当期供应价格。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tbl>
      <w:tblPr>
        <w:tblStyle w:val="4"/>
        <w:tblW w:w="9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广西玖味源商贸有限公司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403"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南宁市民主路</w:t>
            </w:r>
            <w:r>
              <w:rPr>
                <w:rFonts w:hint="eastAsia" w:ascii="宋体" w:hAnsi="宋体"/>
                <w:color w:val="000000"/>
                <w:sz w:val="24"/>
                <w:szCs w:val="24"/>
                <w:lang w:val="en-US" w:eastAsia="zh-CN"/>
              </w:rPr>
              <w:t>6-10号望仙坡小区1-4栋1单元502号房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40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pPr>
        <w:pStyle w:val="2"/>
        <w:rPr>
          <w:rFonts w:hint="eastAsia"/>
        </w:rPr>
      </w:pPr>
    </w:p>
    <w:p>
      <w:pPr>
        <w:spacing w:line="440" w:lineRule="exact"/>
        <w:rPr>
          <w:rFonts w:hint="eastAsia"/>
          <w:color w:val="000000"/>
        </w:rPr>
      </w:pPr>
    </w:p>
    <w:p>
      <w:pPr>
        <w:spacing w:line="440" w:lineRule="exact"/>
        <w:jc w:val="center"/>
        <w:rPr>
          <w:rFonts w:hint="eastAsia" w:ascii="宋体" w:hAnsi="宋体"/>
          <w:b/>
          <w:bCs/>
          <w:color w:val="000000"/>
          <w:sz w:val="36"/>
          <w:szCs w:val="36"/>
        </w:rPr>
      </w:pP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1206140C"/>
    <w:rsid w:val="17B0267B"/>
    <w:rsid w:val="1F1A64CC"/>
    <w:rsid w:val="21EB4277"/>
    <w:rsid w:val="2B47434B"/>
    <w:rsid w:val="310B6DD8"/>
    <w:rsid w:val="36040B6E"/>
    <w:rsid w:val="3A7E42DA"/>
    <w:rsid w:val="3A802084"/>
    <w:rsid w:val="3CE35A27"/>
    <w:rsid w:val="3DE05462"/>
    <w:rsid w:val="4A107EAF"/>
    <w:rsid w:val="53E81B92"/>
    <w:rsid w:val="56E744DA"/>
    <w:rsid w:val="58073CCE"/>
    <w:rsid w:val="62CD4123"/>
    <w:rsid w:val="67E2075A"/>
    <w:rsid w:val="72595339"/>
    <w:rsid w:val="72A62304"/>
    <w:rsid w:val="75090DEF"/>
    <w:rsid w:val="76717F7A"/>
    <w:rsid w:val="77411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2020-01-14T09:36:27Z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