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南宁市昊秋龙商贸有限公司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eastAsia="宋体"/>
          <w:color w:val="000000"/>
          <w:sz w:val="28"/>
          <w:szCs w:val="28"/>
          <w:lang w:eastAsia="zh-CN"/>
        </w:rPr>
      </w:pPr>
      <w:r>
        <w:rPr>
          <w:rFonts w:hint="eastAsia"/>
          <w:color w:val="000000"/>
          <w:sz w:val="28"/>
          <w:szCs w:val="28"/>
        </w:rPr>
        <w:t>1、甲方向乙方购买下表所列品牌、规格、单价的物资1批</w:t>
      </w:r>
      <w:r>
        <w:rPr>
          <w:rFonts w:hint="eastAsia"/>
          <w:color w:val="000000"/>
          <w:sz w:val="28"/>
          <w:szCs w:val="28"/>
          <w:lang w:eastAsia="zh-CN"/>
        </w:rPr>
        <w:t>，具体清单见</w:t>
      </w:r>
      <w:r>
        <w:rPr>
          <w:rFonts w:hint="eastAsia"/>
          <w:color w:val="000000"/>
          <w:sz w:val="28"/>
          <w:szCs w:val="28"/>
        </w:rPr>
        <w:t>中标</w:t>
      </w:r>
      <w:r>
        <w:rPr>
          <w:rFonts w:hint="eastAsia"/>
          <w:color w:val="000000"/>
          <w:sz w:val="28"/>
          <w:szCs w:val="28"/>
          <w:lang w:val="en-US" w:eastAsia="zh-CN"/>
        </w:rPr>
        <w:t>F</w:t>
      </w:r>
      <w:r>
        <w:rPr>
          <w:rFonts w:hint="eastAsia"/>
          <w:color w:val="000000"/>
          <w:sz w:val="28"/>
          <w:szCs w:val="28"/>
        </w:rPr>
        <w:t>分标的货物明细</w:t>
      </w:r>
      <w:r>
        <w:rPr>
          <w:rFonts w:hint="eastAsia"/>
          <w:color w:val="000000"/>
          <w:sz w:val="28"/>
          <w:szCs w:val="28"/>
          <w:lang w:eastAsia="zh-CN"/>
        </w:rPr>
        <w:t>报价</w:t>
      </w:r>
      <w:r>
        <w:rPr>
          <w:rFonts w:hint="eastAsia"/>
          <w:color w:val="000000"/>
          <w:sz w:val="28"/>
          <w:szCs w:val="28"/>
        </w:rPr>
        <w:t>一览表</w:t>
      </w:r>
      <w:r>
        <w:rPr>
          <w:rFonts w:hint="eastAsia"/>
          <w:color w:val="000000"/>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F</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：奶制品</w:t>
      </w:r>
    </w:p>
    <w:tbl>
      <w:tblPr>
        <w:tblStyle w:val="5"/>
        <w:tblW w:w="91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29"/>
        <w:gridCol w:w="3578"/>
        <w:gridCol w:w="1507"/>
        <w:gridCol w:w="27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1" w:hRule="atLeast"/>
        </w:trPr>
        <w:tc>
          <w:tcPr>
            <w:tcW w:w="1329" w:type="dxa"/>
            <w:noWrap w:val="0"/>
            <w:vAlign w:val="center"/>
          </w:tcPr>
          <w:p>
            <w:pPr>
              <w:spacing w:line="440" w:lineRule="exact"/>
              <w:ind w:right="-82" w:rightChars="-39"/>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品类名称</w:t>
            </w:r>
          </w:p>
        </w:tc>
        <w:tc>
          <w:tcPr>
            <w:tcW w:w="3578"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品质要求</w:t>
            </w:r>
          </w:p>
        </w:tc>
        <w:tc>
          <w:tcPr>
            <w:tcW w:w="1507"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采购</w:t>
            </w:r>
            <w:r>
              <w:rPr>
                <w:rFonts w:hint="eastAsia" w:ascii="宋体" w:hAnsi="宋体" w:eastAsia="宋体" w:cs="宋体"/>
                <w:b w:val="0"/>
                <w:bCs w:val="0"/>
                <w:color w:val="000000"/>
                <w:sz w:val="24"/>
                <w:szCs w:val="24"/>
              </w:rPr>
              <w:t>数量</w:t>
            </w:r>
          </w:p>
        </w:tc>
        <w:tc>
          <w:tcPr>
            <w:tcW w:w="274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包装要求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6" w:hRule="atLeast"/>
        </w:trPr>
        <w:tc>
          <w:tcPr>
            <w:tcW w:w="1329" w:type="dxa"/>
            <w:noWrap w:val="0"/>
            <w:vAlign w:val="center"/>
          </w:tcPr>
          <w:p>
            <w:pPr>
              <w:spacing w:line="440" w:lineRule="exact"/>
              <w:ind w:right="-82" w:rightChars="-39"/>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奶制品</w:t>
            </w:r>
          </w:p>
        </w:tc>
        <w:tc>
          <w:tcPr>
            <w:tcW w:w="3578"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符合《乳制品国家质量标准》，每批次需有检验合格证。需为皇氏系列、伊利系列、蒙牛系列产品。</w:t>
            </w:r>
          </w:p>
        </w:tc>
        <w:tc>
          <w:tcPr>
            <w:tcW w:w="1507"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按需供应</w:t>
            </w:r>
          </w:p>
        </w:tc>
        <w:tc>
          <w:tcPr>
            <w:tcW w:w="2745"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包装完整，注册商标、厂名、厂址、质量等级、重量、S</w:t>
            </w:r>
            <w:r>
              <w:rPr>
                <w:rFonts w:hint="default" w:ascii="宋体" w:hAnsi="宋体" w:cs="宋体"/>
                <w:color w:val="000000"/>
                <w:sz w:val="24"/>
                <w:szCs w:val="24"/>
                <w:lang w:val="en-GB"/>
              </w:rPr>
              <w:t>C</w:t>
            </w:r>
            <w:r>
              <w:rPr>
                <w:rFonts w:hint="eastAsia" w:ascii="宋体" w:hAnsi="宋体" w:eastAsia="宋体" w:cs="宋体"/>
                <w:color w:val="000000"/>
                <w:sz w:val="24"/>
                <w:szCs w:val="24"/>
              </w:rPr>
              <w:t>证号等各类标识清楚</w:t>
            </w:r>
            <w:r>
              <w:rPr>
                <w:rFonts w:hint="eastAsia" w:ascii="宋体" w:hAnsi="宋体" w:cs="宋体"/>
                <w:color w:val="000000"/>
                <w:sz w:val="24"/>
                <w:szCs w:val="24"/>
                <w:lang w:eastAsia="zh-CN"/>
              </w:rPr>
              <w:t>。</w:t>
            </w:r>
            <w:bookmarkStart w:id="0" w:name="_GoBack"/>
            <w:bookmarkEnd w:id="0"/>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tbl>
      <w:tblPr>
        <w:tblStyle w:val="6"/>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南宁昊秋龙商贸有限公司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南宁市兴宁区长堽路四里长堽村</w:t>
            </w:r>
            <w:r>
              <w:rPr>
                <w:rFonts w:hint="eastAsia" w:ascii="宋体" w:hAnsi="宋体"/>
                <w:color w:val="000000"/>
                <w:sz w:val="24"/>
                <w:szCs w:val="24"/>
                <w:lang w:val="en-US" w:eastAsia="zh-CN"/>
              </w:rPr>
              <w:t>32号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pStyle w:val="2"/>
        <w:rPr>
          <w:rFonts w:hint="eastAsia"/>
        </w:rPr>
      </w:pPr>
    </w:p>
    <w:p>
      <w:pPr>
        <w:spacing w:line="440" w:lineRule="exact"/>
        <w:rPr>
          <w:rFonts w:hint="eastAsia"/>
          <w:color w:val="000000"/>
        </w:rPr>
      </w:pPr>
    </w:p>
    <w:p>
      <w:pPr>
        <w:spacing w:line="440" w:lineRule="exact"/>
        <w:jc w:val="center"/>
        <w:rPr>
          <w:rFonts w:hint="eastAsia" w:ascii="宋体" w:hAnsi="宋体"/>
          <w:b/>
          <w:bCs/>
          <w:color w:val="000000"/>
          <w:sz w:val="36"/>
          <w:szCs w:val="36"/>
        </w:rPr>
      </w:pPr>
    </w:p>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6B711FA"/>
    <w:rsid w:val="0A5027FC"/>
    <w:rsid w:val="1F1A64CC"/>
    <w:rsid w:val="21EB4277"/>
    <w:rsid w:val="2B47434B"/>
    <w:rsid w:val="310B6DD8"/>
    <w:rsid w:val="32A22841"/>
    <w:rsid w:val="3A7E42DA"/>
    <w:rsid w:val="3A802084"/>
    <w:rsid w:val="3CE35A27"/>
    <w:rsid w:val="3DE05462"/>
    <w:rsid w:val="42EA259B"/>
    <w:rsid w:val="4A107EAF"/>
    <w:rsid w:val="4FAA6A80"/>
    <w:rsid w:val="53E81B92"/>
    <w:rsid w:val="59366BE4"/>
    <w:rsid w:val="62CD4123"/>
    <w:rsid w:val="659D3478"/>
    <w:rsid w:val="67E2075A"/>
    <w:rsid w:val="6F476CFA"/>
    <w:rsid w:val="72595339"/>
    <w:rsid w:val="7293746E"/>
    <w:rsid w:val="72A62304"/>
    <w:rsid w:val="76717F7A"/>
    <w:rsid w:val="774111E7"/>
    <w:rsid w:val="7CCA4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