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广西水利电力职业技术学院宝鹰楼及露天实训场配电改造工程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  <w:t>设计</w:t>
      </w:r>
    </w:p>
    <w:p>
      <w:pPr>
        <w:spacing w:line="360" w:lineRule="auto"/>
        <w:ind w:left="1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服务项目采购需求</w:t>
      </w:r>
    </w:p>
    <w:bookmarkEnd w:id="0"/>
    <w:p>
      <w:pPr>
        <w:pStyle w:val="4"/>
        <w:numPr>
          <w:ilvl w:val="0"/>
          <w:numId w:val="1"/>
        </w:numPr>
        <w:wordWrap w:val="0"/>
        <w:spacing w:line="500" w:lineRule="exact"/>
        <w:ind w:left="1232" w:leftChars="560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项目技术需求</w:t>
      </w:r>
    </w:p>
    <w:p>
      <w:pPr>
        <w:shd w:val="clear" w:color="auto" w:fill="FFFFFF"/>
        <w:wordWrap w:val="0"/>
        <w:spacing w:line="500" w:lineRule="exact"/>
        <w:ind w:firstLine="504"/>
        <w:rPr>
          <w:rFonts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</w:pPr>
      <w:r>
        <w:rPr>
          <w:rFonts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本项</w:t>
      </w:r>
      <w:r>
        <w:rPr>
          <w:rFonts w:hint="eastAsia"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目</w:t>
      </w:r>
      <w:r>
        <w:rPr>
          <w:rFonts w:hint="eastAsia"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宝鹰楼及露天实训场配电改造工程设计服务项目</w:t>
      </w:r>
      <w:r>
        <w:rPr>
          <w:rFonts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要求按国家、省、市现行规范、标准和委托单位的设计内容、完成时间进行设计查验、检验，严格按</w:t>
      </w:r>
      <w:r>
        <w:rPr>
          <w:rFonts w:hint="eastAsia"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《</w:t>
      </w:r>
      <w:r>
        <w:rPr>
          <w:rFonts w:hint="eastAsia"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建筑设计防火规范》（G</w:t>
      </w:r>
      <w:r>
        <w:rPr>
          <w:rFonts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B50016-2014）2018</w:t>
      </w:r>
      <w:r>
        <w:rPr>
          <w:rFonts w:hint="eastAsia"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年版、《民用建筑设计通则》</w:t>
      </w:r>
      <w:r>
        <w:rPr>
          <w:rFonts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GB50352-2005</w:t>
      </w:r>
      <w:r>
        <w:rPr>
          <w:rFonts w:hint="eastAsia"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、《</w:t>
      </w:r>
      <w:r>
        <w:rPr>
          <w:rFonts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低压配电设计规范</w:t>
      </w:r>
      <w:r>
        <w:rPr>
          <w:rFonts w:hint="eastAsia"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》G</w:t>
      </w:r>
      <w:r>
        <w:rPr>
          <w:rFonts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B50054-2011等国家现行规范、标准</w:t>
      </w:r>
      <w:r>
        <w:rPr>
          <w:rFonts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执行，对采购人委托的</w:t>
      </w:r>
      <w:r>
        <w:rPr>
          <w:rFonts w:hint="eastAsia"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宝鹰楼及露天实训场配电改造工程</w:t>
      </w:r>
      <w:r>
        <w:rPr>
          <w:rFonts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进行客观公正的</w:t>
      </w:r>
      <w:r>
        <w:rPr>
          <w:rFonts w:hint="eastAsia"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改造更新设计</w:t>
      </w:r>
      <w:r>
        <w:rPr>
          <w:rFonts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，做到设计成果完整、准确、真实、清楚，符合上述国家现行规范、标准的设计要求</w:t>
      </w:r>
      <w:r>
        <w:rPr>
          <w:rFonts w:hint="eastAsia"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，满足实际需求</w:t>
      </w:r>
      <w:r>
        <w:rPr>
          <w:rFonts w:ascii="仿宋" w:hAnsi="仿宋" w:eastAsia="仿宋" w:cs="仿宋"/>
          <w:caps/>
          <w:color w:val="auto"/>
          <w:sz w:val="28"/>
          <w:szCs w:val="28"/>
          <w:highlight w:val="none"/>
          <w:shd w:val="clear" w:color="auto" w:fill="FFFFFF"/>
          <w:lang w:bidi="zh-CN"/>
        </w:rPr>
        <w:t>。包含但不限于下列表单所列的项目内容。</w:t>
      </w:r>
    </w:p>
    <w:p>
      <w:pPr>
        <w:numPr>
          <w:ilvl w:val="0"/>
          <w:numId w:val="1"/>
        </w:numPr>
        <w:ind w:left="1232" w:leftChars="560"/>
        <w:rPr>
          <w:color w:val="auto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商务条款</w:t>
      </w:r>
    </w:p>
    <w:p>
      <w:pPr>
        <w:rPr>
          <w:color w:val="auto"/>
          <w:highlight w:val="none"/>
        </w:rPr>
      </w:pPr>
    </w:p>
    <w:tbl>
      <w:tblPr>
        <w:tblStyle w:val="10"/>
        <w:tblW w:w="93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7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服务名称</w:t>
            </w:r>
          </w:p>
        </w:tc>
        <w:tc>
          <w:tcPr>
            <w:tcW w:w="7967" w:type="dxa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商务条款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宝鹰楼及露天实训场配电改造工程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技术服务</w:t>
            </w:r>
          </w:p>
        </w:tc>
        <w:tc>
          <w:tcPr>
            <w:tcW w:w="7967" w:type="dxa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一、★合同签订期：自成交结果确认之日起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个日历日内。 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二、★服务成果交付时间：从进场之日起至项目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设计文件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验收合格。 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三、★服务地点、内容：采购人指定地点。服务内容包括：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按委托人使用需求建设的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宝鹰楼及露天实训场配电改造工程设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计施工图及预算编制。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四、★付款方式：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1.本项目为总价包干，需通过采购方的服务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成果会审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，否则采购人有权不支付任何款项。</w:t>
            </w:r>
          </w:p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本项目无预付款；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供应商递交项目设计成果评审合格后且开具合额普通发票给采购人10个工作日内，采购人一次性付清供应商的全部合同款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五、★售后服务要求：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1．质量保证期：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 处理问题响应时间：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六、★其它商务要求：</w:t>
            </w:r>
          </w:p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1.投标报价方式：固定总价报价，不能超过预算最高限价。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2.竞标报价必须包含以下部分，包括： 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（1）服务的价格；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（2）必要的保险费用和各项税金、差旅费等；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（3）项目验收的费用；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（4）技术支持、售后服务费用。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（5）本项目涉及的所有费用。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3.验收要求：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4.保密要求： </w:t>
            </w:r>
          </w:p>
        </w:tc>
      </w:tr>
    </w:tbl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sectPr>
      <w:footerReference r:id="rId3" w:type="default"/>
      <w:type w:val="continuous"/>
      <w:pgSz w:w="11910" w:h="16840"/>
      <w:pgMar w:top="1160" w:right="640" w:bottom="280" w:left="640" w:header="720" w:footer="720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10058400</wp:posOffset>
              </wp:positionV>
              <wp:extent cx="142240" cy="1562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spacing w:line="24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2pt;margin-top:792pt;height:12.3pt;width:11.2pt;mso-position-horizontal-relative:page;mso-position-vertical-relative:page;z-index:-251657216;mso-width-relative:page;mso-height-relative:page;" filled="f" stroked="f" coordsize="21600,21600" o:gfxdata="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Db5dh2QAAAA0BAAAPAAAAAAAAAAEAIAAAACIAAABkcnMvZG93&#10;bnJldi54bWxQSwECFAAUAAAACACHTuJAPJtMo/8BAAARBAAADgAAAAAAAAABACAAAAAo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46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0"/>
    <w:multiLevelType w:val="multilevel"/>
    <w:tmpl w:val="2F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2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3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4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5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6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7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8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noPunctuationKerning w:val="1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YWUxYjIyYzliZjMzNzAzMGY4YWFkOWMxMWRkMzkifQ=="/>
  </w:docVars>
  <w:rsids>
    <w:rsidRoot w:val="008644FC"/>
    <w:rsid w:val="00005F4E"/>
    <w:rsid w:val="0013784C"/>
    <w:rsid w:val="001B44AD"/>
    <w:rsid w:val="001F21CB"/>
    <w:rsid w:val="00223279"/>
    <w:rsid w:val="00277F44"/>
    <w:rsid w:val="00326A2E"/>
    <w:rsid w:val="00473232"/>
    <w:rsid w:val="00477144"/>
    <w:rsid w:val="004B1CEE"/>
    <w:rsid w:val="004D4B6C"/>
    <w:rsid w:val="004E4918"/>
    <w:rsid w:val="005E6288"/>
    <w:rsid w:val="00687260"/>
    <w:rsid w:val="006A240C"/>
    <w:rsid w:val="007E2880"/>
    <w:rsid w:val="008644FC"/>
    <w:rsid w:val="00870AB2"/>
    <w:rsid w:val="008A2CBE"/>
    <w:rsid w:val="008C2A30"/>
    <w:rsid w:val="009031AE"/>
    <w:rsid w:val="00924522"/>
    <w:rsid w:val="00A10801"/>
    <w:rsid w:val="00A141EF"/>
    <w:rsid w:val="00A4457C"/>
    <w:rsid w:val="00AD4F75"/>
    <w:rsid w:val="00B617CA"/>
    <w:rsid w:val="00C15CAA"/>
    <w:rsid w:val="00C9004A"/>
    <w:rsid w:val="00CE765B"/>
    <w:rsid w:val="00D02681"/>
    <w:rsid w:val="00D5690D"/>
    <w:rsid w:val="00D81DEA"/>
    <w:rsid w:val="00DD72C6"/>
    <w:rsid w:val="00DE4CD5"/>
    <w:rsid w:val="00DE501F"/>
    <w:rsid w:val="00E722B9"/>
    <w:rsid w:val="00ED38EE"/>
    <w:rsid w:val="00F06275"/>
    <w:rsid w:val="00F16896"/>
    <w:rsid w:val="00F60CA0"/>
    <w:rsid w:val="00FF1ABD"/>
    <w:rsid w:val="354C0F96"/>
    <w:rsid w:val="4F2724BA"/>
    <w:rsid w:val="711976A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28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505" w:lineRule="exact"/>
      <w:ind w:left="3106" w:right="3106"/>
      <w:jc w:val="center"/>
      <w:outlineLvl w:val="0"/>
    </w:pPr>
    <w:rPr>
      <w:rFonts w:ascii="微软雅黑" w:hAnsi="微软雅黑" w:eastAsia="微软雅黑" w:cs="微软雅黑"/>
      <w:b/>
      <w:sz w:val="31"/>
      <w:szCs w:val="31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76"/>
      <w:ind w:left="538"/>
      <w:outlineLvl w:val="1"/>
    </w:pPr>
    <w:rPr>
      <w:sz w:val="26"/>
      <w:szCs w:val="26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20"/>
      <w:szCs w:val="20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28"/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12">
    <w:name w:val="Emphasis"/>
    <w:basedOn w:val="11"/>
    <w:qFormat/>
    <w:uiPriority w:val="20"/>
    <w:rPr>
      <w:i/>
      <w:iCs/>
    </w:rPr>
  </w:style>
  <w:style w:type="paragraph" w:styleId="13">
    <w:name w:val="List Paragraph"/>
    <w:basedOn w:val="1"/>
    <w:qFormat/>
    <w:uiPriority w:val="26"/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qFormat/>
    <w:uiPriority w:val="0"/>
  </w:style>
  <w:style w:type="character" w:customStyle="1" w:styleId="16">
    <w:name w:val="批注框文本 Char"/>
    <w:basedOn w:val="11"/>
    <w:link w:val="5"/>
    <w:semiHidden/>
    <w:qFormat/>
    <w:uiPriority w:val="99"/>
    <w:rPr>
      <w:rFonts w:ascii="宋体" w:hAnsi="宋体" w:cs="宋体"/>
      <w:sz w:val="18"/>
      <w:szCs w:val="18"/>
    </w:rPr>
  </w:style>
  <w:style w:type="character" w:customStyle="1" w:styleId="17">
    <w:name w:val="页眉 Char"/>
    <w:basedOn w:val="11"/>
    <w:link w:val="7"/>
    <w:uiPriority w:val="99"/>
    <w:rPr>
      <w:rFonts w:ascii="宋体" w:hAnsi="宋体" w:cs="宋体"/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687</Words>
  <Characters>731</Characters>
  <Lines>5</Lines>
  <Paragraphs>1</Paragraphs>
  <TotalTime>3</TotalTime>
  <ScaleCrop>false</ScaleCrop>
  <LinksUpToDate>false</LinksUpToDate>
  <CharactersWithSpaces>736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2022-05-26T09:46:00Z</dcterms:created>
  <dc:creator>201A</dc:creator>
  <cp:lastModifiedBy>Administrator</cp:lastModifiedBy>
  <dcterms:modified xsi:type="dcterms:W3CDTF">2022-06-13T03:48:43Z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D52066EEA0DC470D807EACF7CE60C35C</vt:lpwstr>
  </property>
</Properties>
</file>