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24"/>
          <w:szCs w:val="24"/>
        </w:rPr>
      </w:pPr>
      <w:r>
        <w:rPr>
          <w:rFonts w:hint="eastAsia" w:ascii="仿宋" w:hAnsi="仿宋" w:eastAsia="仿宋"/>
          <w:b/>
          <w:sz w:val="24"/>
          <w:szCs w:val="24"/>
        </w:rPr>
        <w:t>广西水利电力职业技术学院</w:t>
      </w:r>
    </w:p>
    <w:p>
      <w:pPr>
        <w:jc w:val="center"/>
        <w:rPr>
          <w:rFonts w:ascii="仿宋" w:hAnsi="仿宋" w:eastAsia="仿宋"/>
          <w:b/>
          <w:sz w:val="24"/>
          <w:szCs w:val="24"/>
        </w:rPr>
      </w:pPr>
      <w:r>
        <w:rPr>
          <w:rFonts w:hint="eastAsia" w:ascii="仿宋" w:hAnsi="仿宋" w:eastAsia="仿宋"/>
          <w:b/>
          <w:sz w:val="24"/>
          <w:szCs w:val="24"/>
        </w:rPr>
        <w:t>网络信息系统安全综合服务项目需求</w:t>
      </w:r>
    </w:p>
    <w:tbl>
      <w:tblPr>
        <w:tblStyle w:val="5"/>
        <w:tblW w:w="14060" w:type="dxa"/>
        <w:tblInd w:w="-5" w:type="dxa"/>
        <w:tblLayout w:type="autofit"/>
        <w:tblCellMar>
          <w:top w:w="0" w:type="dxa"/>
          <w:left w:w="108" w:type="dxa"/>
          <w:bottom w:w="0" w:type="dxa"/>
          <w:right w:w="108" w:type="dxa"/>
        </w:tblCellMar>
      </w:tblPr>
      <w:tblGrid>
        <w:gridCol w:w="640"/>
        <w:gridCol w:w="1680"/>
        <w:gridCol w:w="5200"/>
        <w:gridCol w:w="2800"/>
        <w:gridCol w:w="1160"/>
        <w:gridCol w:w="1160"/>
        <w:gridCol w:w="1420"/>
      </w:tblGrid>
      <w:tr>
        <w:tblPrEx>
          <w:tblCellMar>
            <w:top w:w="0" w:type="dxa"/>
            <w:left w:w="108" w:type="dxa"/>
            <w:bottom w:w="0" w:type="dxa"/>
            <w:right w:w="108" w:type="dxa"/>
          </w:tblCellMar>
        </w:tblPrEx>
        <w:trPr>
          <w:trHeight w:val="540" w:hRule="atLeast"/>
          <w:tblHeader/>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序号</w:t>
            </w:r>
          </w:p>
        </w:tc>
        <w:tc>
          <w:tcPr>
            <w:tcW w:w="16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服务名称</w:t>
            </w:r>
          </w:p>
        </w:tc>
        <w:tc>
          <w:tcPr>
            <w:tcW w:w="5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服务描述</w:t>
            </w:r>
          </w:p>
        </w:tc>
        <w:tc>
          <w:tcPr>
            <w:tcW w:w="28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交付物</w:t>
            </w:r>
          </w:p>
        </w:tc>
        <w:tc>
          <w:tcPr>
            <w:tcW w:w="11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服务期限</w:t>
            </w:r>
            <w:r>
              <w:rPr>
                <w:rFonts w:hint="eastAsia" w:ascii="仿宋" w:hAnsi="仿宋" w:eastAsia="仿宋" w:cs="宋体"/>
                <w:b/>
                <w:bCs/>
                <w:kern w:val="0"/>
                <w:sz w:val="22"/>
              </w:rPr>
              <w:br w:type="textWrapping"/>
            </w:r>
            <w:r>
              <w:rPr>
                <w:rFonts w:hint="eastAsia" w:ascii="仿宋" w:hAnsi="仿宋" w:eastAsia="仿宋" w:cs="宋体"/>
                <w:b/>
                <w:bCs/>
                <w:kern w:val="0"/>
                <w:sz w:val="22"/>
              </w:rPr>
              <w:t>（年）</w:t>
            </w:r>
          </w:p>
        </w:tc>
        <w:tc>
          <w:tcPr>
            <w:tcW w:w="11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 xml:space="preserve">服务频率(次) </w:t>
            </w:r>
          </w:p>
        </w:tc>
        <w:tc>
          <w:tcPr>
            <w:tcW w:w="14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工时</w:t>
            </w:r>
          </w:p>
          <w:p>
            <w:pPr>
              <w:widowControl/>
              <w:jc w:val="center"/>
              <w:rPr>
                <w:rFonts w:hint="eastAsia" w:ascii="仿宋" w:hAnsi="仿宋" w:eastAsia="仿宋" w:cs="宋体"/>
                <w:b/>
                <w:bCs/>
                <w:kern w:val="0"/>
                <w:sz w:val="22"/>
              </w:rPr>
            </w:pPr>
            <w:r>
              <w:rPr>
                <w:rFonts w:hint="eastAsia" w:ascii="仿宋" w:hAnsi="仿宋" w:eastAsia="仿宋" w:cs="宋体"/>
                <w:b/>
                <w:bCs/>
                <w:kern w:val="0"/>
                <w:sz w:val="22"/>
              </w:rPr>
              <w:t>（人日）</w:t>
            </w:r>
          </w:p>
        </w:tc>
      </w:tr>
      <w:tr>
        <w:tblPrEx>
          <w:tblCellMar>
            <w:top w:w="0" w:type="dxa"/>
            <w:left w:w="108" w:type="dxa"/>
            <w:bottom w:w="0" w:type="dxa"/>
            <w:right w:w="108" w:type="dxa"/>
          </w:tblCellMar>
        </w:tblPrEx>
        <w:trPr>
          <w:trHeight w:val="108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1</w:t>
            </w:r>
          </w:p>
        </w:tc>
        <w:tc>
          <w:tcPr>
            <w:tcW w:w="16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安全体系优化服务</w:t>
            </w:r>
          </w:p>
        </w:tc>
        <w:tc>
          <w:tcPr>
            <w:tcW w:w="520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1.1资产梳理： 通过对采购人现有的包括但不限于核心业务系统、网络设备、安全设备、网络架构、主机产品、虚拟化资产所涉及系统、IP地址规划表等进行分析与梳理,明确资产情况、网络数据流情况、现有的组织结构等情况。</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《信息资产表》</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4</w:t>
            </w:r>
          </w:p>
        </w:tc>
      </w:tr>
      <w:tr>
        <w:tblPrEx>
          <w:tblCellMar>
            <w:top w:w="0" w:type="dxa"/>
            <w:left w:w="108" w:type="dxa"/>
            <w:bottom w:w="0" w:type="dxa"/>
            <w:right w:w="108" w:type="dxa"/>
          </w:tblCellMar>
        </w:tblPrEx>
        <w:trPr>
          <w:trHeight w:val="108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2</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20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1.2安全巡检：对采购方网络安全设备（包含但不限于:防火墙、AC、数据库审计、IDS、IPS、WAF、防病毒、VPN、堡垒机、态势感知）的运行状况、日志进行检查分析，将发现的潜在的安全威胁及时告知采购人并进行处理。</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《网络安全设备巡检结果》</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5</w:t>
            </w:r>
          </w:p>
        </w:tc>
      </w:tr>
      <w:tr>
        <w:tblPrEx>
          <w:tblCellMar>
            <w:top w:w="0" w:type="dxa"/>
            <w:left w:w="108" w:type="dxa"/>
            <w:bottom w:w="0" w:type="dxa"/>
            <w:right w:w="108" w:type="dxa"/>
          </w:tblCellMar>
        </w:tblPrEx>
        <w:trPr>
          <w:trHeight w:val="135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3</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20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1.3 安全咨询：提供安全管理体系优化服务，协助采购人贯彻落实网络安全法规定的等级保护防护义务，建立并完善安全管理制度体系，包括但不限于安全管理制度、安全管理机构、安全管理人员、安全建设管理、安全运维管理等方面。</w:t>
            </w:r>
          </w:p>
        </w:tc>
        <w:tc>
          <w:tcPr>
            <w:tcW w:w="28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协助采购方完成网络安全管理体系优化工作</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5</w:t>
            </w:r>
          </w:p>
        </w:tc>
      </w:tr>
      <w:tr>
        <w:tblPrEx>
          <w:tblCellMar>
            <w:top w:w="0" w:type="dxa"/>
            <w:left w:w="108" w:type="dxa"/>
            <w:bottom w:w="0" w:type="dxa"/>
            <w:right w:w="108" w:type="dxa"/>
          </w:tblCellMar>
        </w:tblPrEx>
        <w:trPr>
          <w:trHeight w:val="81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4</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20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1.4安全事件预警及处置指导服务。持续跟踪网络安全形势，针对社会上或上级指导单位的漏洞预警、安全情报，向采购方提供预警和防范建议，并协助处置。</w:t>
            </w:r>
          </w:p>
        </w:tc>
        <w:tc>
          <w:tcPr>
            <w:tcW w:w="28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《XX预警通知》</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10</w:t>
            </w:r>
          </w:p>
        </w:tc>
      </w:tr>
      <w:tr>
        <w:tblPrEx>
          <w:tblCellMar>
            <w:top w:w="0" w:type="dxa"/>
            <w:left w:w="108" w:type="dxa"/>
            <w:bottom w:w="0" w:type="dxa"/>
            <w:right w:w="108" w:type="dxa"/>
          </w:tblCellMar>
        </w:tblPrEx>
        <w:trPr>
          <w:trHeight w:val="108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5</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20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1.5应急演练：对采购方指定的业务系统假设的安全事件场景演练，检验应对安全事件时的应急响应能力，总结需要完善的防护环节，通过演练来增强业务系统的安全防护能力。</w:t>
            </w:r>
          </w:p>
        </w:tc>
        <w:tc>
          <w:tcPr>
            <w:tcW w:w="28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《XX系统XX事件应急演练方案》</w:t>
            </w:r>
            <w:r>
              <w:rPr>
                <w:rFonts w:hint="eastAsia" w:ascii="仿宋" w:hAnsi="仿宋" w:eastAsia="仿宋" w:cs="宋体"/>
                <w:kern w:val="0"/>
                <w:sz w:val="22"/>
              </w:rPr>
              <w:br w:type="textWrapping"/>
            </w:r>
            <w:r>
              <w:rPr>
                <w:rFonts w:hint="eastAsia" w:ascii="仿宋" w:hAnsi="仿宋" w:eastAsia="仿宋" w:cs="宋体"/>
                <w:kern w:val="0"/>
                <w:sz w:val="22"/>
              </w:rPr>
              <w:t>《XX系统XX事件应急演练报告》</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5</w:t>
            </w:r>
          </w:p>
        </w:tc>
      </w:tr>
      <w:tr>
        <w:tblPrEx>
          <w:tblCellMar>
            <w:top w:w="0" w:type="dxa"/>
            <w:left w:w="108" w:type="dxa"/>
            <w:bottom w:w="0" w:type="dxa"/>
            <w:right w:w="108" w:type="dxa"/>
          </w:tblCellMar>
        </w:tblPrEx>
        <w:trPr>
          <w:trHeight w:val="189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6</w:t>
            </w:r>
          </w:p>
        </w:tc>
        <w:tc>
          <w:tcPr>
            <w:tcW w:w="16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安全评估服务</w:t>
            </w:r>
          </w:p>
        </w:tc>
        <w:tc>
          <w:tcPr>
            <w:tcW w:w="520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2.1渗透测试服务：根据采购方需求，提供整网渗透测试或网络安全攻防演练服务。在保证采购人信息系统正常运行前提下,模拟黑客攻击行为通过远程和本地方式对网络资产、信息系统进行非破坏性的入侵测试，查找各种漏洞，帮助采购人理解网络及信息资产当前的安全状况，发现在系统复杂结构中的最脆弱链路并针对安全隐患提出解决办法，切实保证网络安全。</w:t>
            </w:r>
          </w:p>
        </w:tc>
        <w:tc>
          <w:tcPr>
            <w:tcW w:w="28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《渗透测试（演练）报告》</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3</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15</w:t>
            </w:r>
          </w:p>
        </w:tc>
      </w:tr>
      <w:tr>
        <w:tblPrEx>
          <w:tblCellMar>
            <w:top w:w="0" w:type="dxa"/>
            <w:left w:w="108" w:type="dxa"/>
            <w:bottom w:w="0" w:type="dxa"/>
            <w:right w:w="108" w:type="dxa"/>
          </w:tblCellMar>
        </w:tblPrEx>
        <w:trPr>
          <w:trHeight w:val="135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7</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20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2.2 漏洞扫描服务：对采购方应用系统进行基础扫描，对客户的应用系统进行基础扫描，通过漏洞扫描发现应用系统存在的安全隐患,帮助客户第一时间掌握自身应用系统存在的安全隐患。并根据漏洞扫描结果出具漏洞扫描报告及处置建议。</w:t>
            </w:r>
          </w:p>
        </w:tc>
        <w:tc>
          <w:tcPr>
            <w:tcW w:w="28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《漏洞扫描报告及处置建议》</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4</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8</w:t>
            </w:r>
          </w:p>
        </w:tc>
      </w:tr>
      <w:tr>
        <w:tblPrEx>
          <w:tblCellMar>
            <w:top w:w="0" w:type="dxa"/>
            <w:left w:w="108" w:type="dxa"/>
            <w:bottom w:w="0" w:type="dxa"/>
            <w:right w:w="108" w:type="dxa"/>
          </w:tblCellMar>
        </w:tblPrEx>
        <w:trPr>
          <w:trHeight w:val="108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8</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20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2.3 等保差距分析：根据网络安全等级保护相关要求对采购方指定的业务系统进行系统评估，了解现阶段业务系统与等级保护要求的具体差距,为后期安全整改提供有力的依据和指导。</w:t>
            </w:r>
          </w:p>
        </w:tc>
        <w:tc>
          <w:tcPr>
            <w:tcW w:w="28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《XX等级保护X级差距分析报告》</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15</w:t>
            </w:r>
          </w:p>
        </w:tc>
      </w:tr>
      <w:tr>
        <w:tblPrEx>
          <w:tblCellMar>
            <w:top w:w="0" w:type="dxa"/>
            <w:left w:w="108" w:type="dxa"/>
            <w:bottom w:w="0" w:type="dxa"/>
            <w:right w:w="108" w:type="dxa"/>
          </w:tblCellMar>
        </w:tblPrEx>
        <w:trPr>
          <w:trHeight w:val="216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9</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重要时期网络安全保障服务</w:t>
            </w:r>
          </w:p>
        </w:tc>
        <w:tc>
          <w:tcPr>
            <w:tcW w:w="520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3.1根据采购人要求，提供重要时期安全保障服务。必要时现场值守，有效监测各安全设备、业务系统的安全状态，及时发现可能存在的安全风险和问题,快速响应处置出现的安全事件，保障重要时期业务系统的稳定、安全运行。提供网络安全攻防演练防守服务,若采购人参加上级网络安全主管部门组织的演练中,则需组织相关专业人员进行防守对抗服务，保证在护网行动中考核结果合格。根据攻防演练中暴露的问题,形成整改报告并指导整改。</w:t>
            </w:r>
          </w:p>
        </w:tc>
        <w:tc>
          <w:tcPr>
            <w:tcW w:w="28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《重要网络安全保障报告》</w:t>
            </w:r>
            <w:r>
              <w:rPr>
                <w:rFonts w:hint="eastAsia" w:ascii="仿宋" w:hAnsi="仿宋" w:eastAsia="仿宋" w:cs="宋体"/>
                <w:kern w:val="0"/>
                <w:sz w:val="22"/>
              </w:rPr>
              <w:br w:type="textWrapping"/>
            </w:r>
            <w:r>
              <w:rPr>
                <w:rFonts w:hint="eastAsia" w:ascii="仿宋" w:hAnsi="仿宋" w:eastAsia="仿宋" w:cs="宋体"/>
                <w:kern w:val="0"/>
                <w:sz w:val="22"/>
              </w:rPr>
              <w:t>《网络安全演练报告》</w:t>
            </w:r>
            <w:r>
              <w:rPr>
                <w:rFonts w:hint="eastAsia" w:ascii="仿宋" w:hAnsi="仿宋" w:eastAsia="仿宋" w:cs="宋体"/>
                <w:kern w:val="0"/>
                <w:sz w:val="22"/>
              </w:rPr>
              <w:br w:type="textWrapping"/>
            </w:r>
            <w:r>
              <w:rPr>
                <w:rFonts w:hint="eastAsia" w:ascii="仿宋" w:hAnsi="仿宋" w:eastAsia="仿宋" w:cs="宋体"/>
                <w:kern w:val="0"/>
                <w:sz w:val="22"/>
              </w:rPr>
              <w:t>《网络安全事件溯源报告》</w:t>
            </w:r>
            <w:r>
              <w:rPr>
                <w:rFonts w:hint="eastAsia" w:ascii="仿宋" w:hAnsi="仿宋" w:eastAsia="仿宋" w:cs="宋体"/>
                <w:kern w:val="0"/>
                <w:sz w:val="22"/>
              </w:rPr>
              <w:br w:type="textWrapping"/>
            </w:r>
            <w:r>
              <w:rPr>
                <w:rFonts w:hint="eastAsia" w:ascii="仿宋" w:hAnsi="仿宋" w:eastAsia="仿宋" w:cs="宋体"/>
                <w:kern w:val="0"/>
                <w:sz w:val="22"/>
              </w:rPr>
              <w:t>《值守人员签到表及工作记录》</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1</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15</w:t>
            </w:r>
          </w:p>
        </w:tc>
      </w:tr>
    </w:tbl>
    <w:p>
      <w:pPr>
        <w:rPr>
          <w:rFonts w:hint="eastAsia"/>
        </w:rPr>
      </w:pPr>
      <w:r>
        <w:rPr>
          <w:rFonts w:ascii="宋体" w:hAnsi="宋体" w:eastAsia="宋体" w:cs="宋体"/>
          <w:sz w:val="24"/>
          <w:szCs w:val="24"/>
        </w:rPr>
        <w:t>服务商及服务人员要求，为确保现场紧急突发故障得到有效及时的响应，相关服务人员及团队应当具有优秀的网络安全应急响应能力: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（1）服务商应按照本项目需求，制定针对性技术服务工作方案，并提供实施人员名单和三个月内社保证明。</w:t>
      </w:r>
      <w:r>
        <w:rPr>
          <w:rFonts w:ascii="宋体" w:hAnsi="宋体" w:eastAsia="宋体" w:cs="宋体"/>
          <w:sz w:val="24"/>
          <w:szCs w:val="24"/>
        </w:rPr>
        <w:br w:type="textWrapping"/>
      </w:r>
      <w:r>
        <w:rPr>
          <w:rFonts w:ascii="宋体" w:hAnsi="宋体" w:eastAsia="宋体" w:cs="宋体"/>
          <w:sz w:val="24"/>
          <w:szCs w:val="24"/>
        </w:rPr>
        <w:t>（2）为本次服务的服务人员，均应当具有一年以上相关行业的服务能力，持有有效期内的下列证书之一（必须提供）：</w:t>
      </w:r>
      <w:r>
        <w:rPr>
          <w:rFonts w:ascii="宋体" w:hAnsi="宋体" w:eastAsia="宋体" w:cs="宋体"/>
          <w:sz w:val="24"/>
          <w:szCs w:val="24"/>
        </w:rPr>
        <w:br w:type="textWrapping"/>
      </w:r>
      <w:r>
        <w:rPr>
          <w:rFonts w:ascii="宋体" w:hAnsi="宋体" w:eastAsia="宋体" w:cs="宋体"/>
          <w:sz w:val="24"/>
          <w:szCs w:val="24"/>
        </w:rPr>
        <w:t>   a.中国网络安全审查技术与认证中心颁发的网络安全应急响应技术工程师（CSERE)证书</w:t>
      </w:r>
      <w:r>
        <w:rPr>
          <w:rFonts w:ascii="宋体" w:hAnsi="宋体" w:eastAsia="宋体" w:cs="宋体"/>
          <w:sz w:val="24"/>
          <w:szCs w:val="24"/>
        </w:rPr>
        <w:br w:type="textWrapping"/>
      </w:r>
      <w:r>
        <w:rPr>
          <w:rFonts w:ascii="宋体" w:hAnsi="宋体" w:eastAsia="宋体" w:cs="宋体"/>
          <w:sz w:val="24"/>
          <w:szCs w:val="24"/>
        </w:rPr>
        <w:t>   b.国家互联网应急中心CNCERT颁发的网络与信息安全应急人员（CCSC/CCSRP）技术方向证书</w:t>
      </w:r>
      <w:r>
        <w:rPr>
          <w:rFonts w:ascii="宋体" w:hAnsi="宋体" w:eastAsia="宋体" w:cs="宋体"/>
          <w:sz w:val="24"/>
          <w:szCs w:val="24"/>
        </w:rPr>
        <w:br w:type="textWrapping"/>
      </w:r>
      <w:r>
        <w:rPr>
          <w:rFonts w:ascii="宋体" w:hAnsi="宋体" w:eastAsia="宋体" w:cs="宋体"/>
          <w:sz w:val="24"/>
          <w:szCs w:val="24"/>
        </w:rPr>
        <w:t>（3）安全渗透团队成员应当具有较强渗透测试能力，服务本项目成员中至少1名成员获得有效期内的中国信息安全测评中心颁发的国家级渗透测试专业认证工程师(CISP-PTE）认证证书；（必须提供）</w:t>
      </w:r>
      <w:r>
        <w:rPr>
          <w:rFonts w:ascii="宋体" w:hAnsi="宋体" w:eastAsia="宋体" w:cs="宋体"/>
          <w:sz w:val="24"/>
          <w:szCs w:val="24"/>
        </w:rPr>
        <w:br w:type="textWrapping"/>
      </w:r>
      <w:r>
        <w:rPr>
          <w:rFonts w:ascii="宋体" w:hAnsi="宋体" w:eastAsia="宋体" w:cs="宋体"/>
          <w:sz w:val="24"/>
          <w:szCs w:val="24"/>
        </w:rPr>
        <w:t>（4）服务团队应当具备省市级网络安全保卫工作经验，同时在近两年参加的市厅级以上网络安全演练中取得前10名的优异成绩。（需证明材料为本次服务商或联合服务商获得的，提供相关证明复印件并加盖供应商公章，原件备查）（必须提供）</w:t>
      </w:r>
      <w:bookmarkStart w:id="0" w:name="_GoBack"/>
      <w:bookmarkEnd w:id="0"/>
    </w:p>
    <w:p>
      <w:pPr>
        <w:numPr>
          <w:ilvl w:val="0"/>
          <w:numId w:val="0"/>
        </w:numPr>
        <w:ind w:firstLine="2310" w:firstLineChars="1100"/>
        <w:jc w:val="left"/>
        <w:rPr>
          <w:rFonts w:hint="default" w:ascii="宋体" w:hAnsi="宋体" w:eastAsia="宋体" w:cs="Times New Roman"/>
          <w:lang w:val="en-US" w:eastAsia="zh-CN"/>
        </w:rPr>
      </w:pPr>
      <w:r>
        <w:rPr>
          <w:rFonts w:hint="eastAsia" w:ascii="宋体" w:hAnsi="宋体" w:eastAsia="宋体" w:cs="Times New Roman"/>
          <w:lang w:eastAsia="zh-CN"/>
        </w:rPr>
        <w:t>报价公司（公司名称）：</w:t>
      </w:r>
      <w:r>
        <w:rPr>
          <w:rFonts w:hint="eastAsia" w:ascii="宋体" w:hAnsi="宋体" w:eastAsia="宋体" w:cs="Times New Roman"/>
          <w:lang w:val="en-US" w:eastAsia="zh-CN"/>
        </w:rPr>
        <w:t xml:space="preserve">                                      联系人：              联系电话：</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Y2ZiN2NjMTFhYjU2ZDIzMmI0ZGYxNmY3M2M3MTEifQ=="/>
  </w:docVars>
  <w:rsids>
    <w:rsidRoot w:val="003A67E4"/>
    <w:rsid w:val="00373C6B"/>
    <w:rsid w:val="003A67E4"/>
    <w:rsid w:val="006D2B57"/>
    <w:rsid w:val="008E45A4"/>
    <w:rsid w:val="00937684"/>
    <w:rsid w:val="009C124A"/>
    <w:rsid w:val="009E2D6C"/>
    <w:rsid w:val="00A422CE"/>
    <w:rsid w:val="00B87DB3"/>
    <w:rsid w:val="00EB0A48"/>
    <w:rsid w:val="01C265E5"/>
    <w:rsid w:val="12C821F9"/>
    <w:rsid w:val="162C4BB8"/>
    <w:rsid w:val="4823329E"/>
    <w:rsid w:val="576B5E3D"/>
    <w:rsid w:val="7AB1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1718</Words>
  <Characters>1789</Characters>
  <Lines>12</Lines>
  <Paragraphs>3</Paragraphs>
  <TotalTime>0</TotalTime>
  <ScaleCrop>false</ScaleCrop>
  <LinksUpToDate>false</LinksUpToDate>
  <CharactersWithSpaces>1852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2022-10-12T04:43:00Z</dcterms:created>
  <dc:creator>lw</dc:creator>
  <cp:lastModifiedBy>Ace</cp:lastModifiedBy>
  <dcterms:modified xsi:type="dcterms:W3CDTF">2022-11-02T08:11:04Z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2CC94E4436D04F22B7BDE5F47F3331A5</vt:lpwstr>
  </property>
</Properties>
</file>