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广西水利电力职业技术学院</w:t>
      </w: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ascii="仿宋_GB2312" w:hAnsi="宋体" w:eastAsia="仿宋_GB2312"/>
          <w:b/>
          <w:bCs/>
          <w:color w:val="auto"/>
          <w:sz w:val="44"/>
          <w:szCs w:val="44"/>
        </w:rPr>
      </w:pPr>
      <w:r>
        <w:rPr>
          <w:rFonts w:hint="eastAsia" w:ascii="仿宋_GB2312" w:hAnsi="宋体" w:eastAsia="仿宋_GB2312" w:cs="仿宋_GB2312"/>
          <w:b/>
          <w:bCs/>
          <w:color w:val="auto"/>
          <w:sz w:val="44"/>
          <w:szCs w:val="44"/>
          <w:lang w:eastAsia="zh-CN"/>
        </w:rPr>
        <w:t>采购</w:t>
      </w:r>
      <w:r>
        <w:rPr>
          <w:rFonts w:hint="eastAsia" w:ascii="仿宋_GB2312" w:hAnsi="宋体" w:eastAsia="仿宋_GB2312" w:cs="仿宋_GB2312"/>
          <w:b/>
          <w:bCs/>
          <w:color w:val="auto"/>
          <w:sz w:val="44"/>
          <w:szCs w:val="44"/>
        </w:rPr>
        <w:t>文件</w:t>
      </w: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keepNext w:val="0"/>
        <w:keepLines w:val="0"/>
        <w:widowControl/>
        <w:suppressLineNumbers w:val="0"/>
        <w:shd w:val="clear" w:fill="FFFFFF"/>
        <w:spacing w:before="0" w:beforeAutospacing="0" w:after="150" w:afterAutospacing="0" w:line="500" w:lineRule="atLeast"/>
        <w:ind w:left="-150" w:right="-150" w:firstLine="2611" w:firstLineChars="867"/>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bCs/>
          <w:color w:val="auto"/>
          <w:sz w:val="30"/>
          <w:szCs w:val="30"/>
        </w:rPr>
        <w:t>项目名称</w:t>
      </w:r>
      <w:r>
        <w:rPr>
          <w:rFonts w:ascii="仿宋_GB2312" w:hAnsi="宋体" w:eastAsia="仿宋_GB2312" w:cs="仿宋_GB2312"/>
          <w:b/>
          <w:bCs/>
          <w:color w:val="auto"/>
          <w:sz w:val="30"/>
          <w:szCs w:val="30"/>
        </w:rPr>
        <w:t>:</w:t>
      </w:r>
      <w:r>
        <w:rPr>
          <w:rFonts w:hint="eastAsia" w:ascii="仿宋_GB2312" w:hAnsi="宋体" w:eastAsia="仿宋_GB2312" w:cs="仿宋_GB2312"/>
          <w:b/>
          <w:bCs/>
          <w:color w:val="auto"/>
          <w:sz w:val="30"/>
          <w:szCs w:val="30"/>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广西水利电力职业技术学院2023年“新生大礼包”采购</w:t>
      </w:r>
    </w:p>
    <w:p>
      <w:pPr>
        <w:pStyle w:val="6"/>
        <w:snapToGrid w:val="0"/>
        <w:spacing w:before="120" w:after="120" w:line="480" w:lineRule="auto"/>
        <w:rPr>
          <w:rFonts w:hint="default" w:ascii="仿宋_GB2312" w:hAnsi="宋体" w:eastAsia="仿宋_GB2312" w:cs="仿宋_GB2312"/>
          <w:b/>
          <w:bCs/>
          <w:color w:val="auto"/>
          <w:sz w:val="30"/>
          <w:szCs w:val="30"/>
          <w:lang w:val="en-US" w:eastAsia="zh-CN"/>
        </w:rPr>
      </w:pPr>
    </w:p>
    <w:p>
      <w:pPr>
        <w:snapToGrid w:val="0"/>
        <w:spacing w:before="156" w:beforeLines="50" w:line="480" w:lineRule="auto"/>
        <w:ind w:firstLine="4518" w:firstLineChars="1500"/>
        <w:rPr>
          <w:rFonts w:ascii="仿宋_GB2312" w:hAnsi="宋体" w:eastAsia="仿宋_GB2312"/>
          <w:b/>
          <w:bCs/>
          <w:color w:val="auto"/>
          <w:sz w:val="30"/>
          <w:szCs w:val="30"/>
          <w:lang w:val="en"/>
        </w:rPr>
      </w:pPr>
      <w:r>
        <w:rPr>
          <w:rFonts w:hint="eastAsia" w:ascii="仿宋_GB2312" w:hAnsi="宋体" w:eastAsia="仿宋_GB2312" w:cs="仿宋_GB2312"/>
          <w:b/>
          <w:bCs/>
          <w:color w:val="auto"/>
          <w:sz w:val="30"/>
          <w:szCs w:val="30"/>
        </w:rPr>
        <w:t>采 购 人：</w:t>
      </w:r>
      <w:r>
        <w:rPr>
          <w:rFonts w:ascii="仿宋_GB2312" w:hAnsi="宋体" w:eastAsia="仿宋_GB2312" w:cs="仿宋_GB2312"/>
          <w:b/>
          <w:bCs/>
          <w:color w:val="auto"/>
          <w:sz w:val="30"/>
          <w:szCs w:val="30"/>
          <w:lang w:val="en"/>
        </w:rPr>
        <w:t>广西水利电力职业技术学院</w:t>
      </w: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360" w:lineRule="auto"/>
        <w:ind w:firstLine="6325" w:firstLineChars="2100"/>
        <w:rPr>
          <w:rFonts w:ascii="仿宋_GB2312" w:hAnsi="宋体" w:eastAsia="仿宋_GB2312"/>
          <w:b/>
          <w:bCs/>
          <w:color w:val="auto"/>
          <w:sz w:val="30"/>
          <w:szCs w:val="30"/>
          <w:lang w:val="en"/>
        </w:rPr>
      </w:pPr>
      <w:r>
        <w:rPr>
          <w:rFonts w:ascii="仿宋_GB2312" w:hAnsi="宋体" w:eastAsia="仿宋_GB2312" w:cs="仿宋_GB2312"/>
          <w:b/>
          <w:bCs/>
          <w:color w:val="auto"/>
          <w:sz w:val="30"/>
          <w:szCs w:val="30"/>
          <w:lang w:val="en"/>
        </w:rPr>
        <w:t>2023年</w:t>
      </w:r>
      <w:r>
        <w:rPr>
          <w:rFonts w:hint="eastAsia" w:ascii="仿宋_GB2312" w:hAnsi="宋体" w:eastAsia="仿宋_GB2312" w:cs="仿宋_GB2312"/>
          <w:b/>
          <w:bCs/>
          <w:color w:val="auto"/>
          <w:sz w:val="30"/>
          <w:szCs w:val="30"/>
          <w:lang w:val="en-US" w:eastAsia="zh-CN"/>
        </w:rPr>
        <w:t>10</w:t>
      </w:r>
      <w:r>
        <w:rPr>
          <w:rFonts w:ascii="仿宋_GB2312" w:hAnsi="宋体" w:eastAsia="仿宋_GB2312" w:cs="仿宋_GB2312"/>
          <w:b/>
          <w:bCs/>
          <w:color w:val="auto"/>
          <w:sz w:val="30"/>
          <w:szCs w:val="30"/>
          <w:lang w:val="en"/>
        </w:rPr>
        <w:t>月</w:t>
      </w:r>
      <w:r>
        <w:rPr>
          <w:rFonts w:hint="eastAsia" w:ascii="仿宋_GB2312" w:hAnsi="宋体" w:eastAsia="仿宋_GB2312" w:cs="仿宋_GB2312"/>
          <w:b/>
          <w:bCs/>
          <w:color w:val="auto"/>
          <w:sz w:val="30"/>
          <w:szCs w:val="30"/>
          <w:lang w:val="en-US" w:eastAsia="zh-CN"/>
        </w:rPr>
        <w:t>8</w:t>
      </w:r>
      <w:r>
        <w:rPr>
          <w:rFonts w:ascii="仿宋_GB2312" w:hAnsi="宋体" w:eastAsia="仿宋_GB2312" w:cs="仿宋_GB2312"/>
          <w:b/>
          <w:bCs/>
          <w:color w:val="auto"/>
          <w:sz w:val="30"/>
          <w:szCs w:val="30"/>
          <w:lang w:val="en"/>
        </w:rPr>
        <w:t>日</w:t>
      </w:r>
    </w:p>
    <w:p>
      <w:pPr>
        <w:jc w:val="center"/>
        <w:rPr>
          <w:rFonts w:hint="eastAsia"/>
          <w:sz w:val="32"/>
          <w:szCs w:val="32"/>
          <w:lang w:eastAsia="zh-CN"/>
        </w:rPr>
      </w:pPr>
    </w:p>
    <w:p>
      <w:pPr>
        <w:jc w:val="center"/>
        <w:rPr>
          <w:rFonts w:hint="eastAsia"/>
          <w:sz w:val="44"/>
          <w:szCs w:val="44"/>
          <w:lang w:eastAsia="zh-CN"/>
        </w:rPr>
      </w:pPr>
    </w:p>
    <w:p>
      <w:pPr>
        <w:jc w:val="center"/>
        <w:rPr>
          <w:rFonts w:hint="default"/>
          <w:sz w:val="44"/>
          <w:szCs w:val="44"/>
          <w:lang w:val="en-US" w:eastAsia="zh-CN"/>
        </w:rPr>
      </w:pPr>
      <w:r>
        <w:rPr>
          <w:rFonts w:hint="eastAsia"/>
          <w:sz w:val="44"/>
          <w:szCs w:val="44"/>
          <w:lang w:eastAsia="zh-CN"/>
        </w:rPr>
        <w:t>第一部分</w:t>
      </w:r>
      <w:r>
        <w:rPr>
          <w:rFonts w:hint="eastAsia"/>
          <w:sz w:val="44"/>
          <w:szCs w:val="44"/>
          <w:lang w:val="en-US" w:eastAsia="zh-CN"/>
        </w:rPr>
        <w:t xml:space="preserve">  询价公告</w:t>
      </w:r>
    </w:p>
    <w:p>
      <w:pPr>
        <w:pStyle w:val="2"/>
        <w:rPr>
          <w:rFonts w:hint="eastAsia"/>
          <w:sz w:val="32"/>
          <w:szCs w:val="32"/>
          <w:lang w:eastAsia="zh-CN"/>
        </w:rPr>
      </w:pPr>
    </w:p>
    <w:p>
      <w:pPr>
        <w:pStyle w:val="4"/>
        <w:rPr>
          <w:rFonts w:hint="eastAsia"/>
          <w:sz w:val="32"/>
          <w:szCs w:val="32"/>
          <w:lang w:eastAsia="zh-CN"/>
        </w:rPr>
      </w:pP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kern w:val="0"/>
          <w:sz w:val="28"/>
          <w:szCs w:val="28"/>
          <w:shd w:val="clear" w:fill="FFFFFF"/>
          <w:lang w:val="en-US" w:eastAsia="zh-CN" w:bidi="ar"/>
        </w:rPr>
        <w:t>根据工作需要，</w:t>
      </w:r>
      <w:r>
        <w:rPr>
          <w:rFonts w:hint="eastAsia" w:ascii="仿宋" w:hAnsi="仿宋" w:eastAsia="仿宋" w:cs="仿宋"/>
          <w:i w:val="0"/>
          <w:iCs w:val="0"/>
          <w:caps w:val="0"/>
          <w:color w:val="000000"/>
          <w:spacing w:val="0"/>
          <w:kern w:val="0"/>
          <w:sz w:val="28"/>
          <w:szCs w:val="28"/>
          <w:shd w:val="clear" w:fill="FFFFFF"/>
          <w:lang w:val="en-US" w:eastAsia="zh-CN" w:bidi="ar"/>
        </w:rPr>
        <w:t>我校现就2023年“新生大礼包”采购进行公开询价，现将有关信息公告如下：</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 一、项目名称：</w:t>
      </w: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广西水利电力职业技术学院2023年“新生大礼包”采购</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 二、采购需求：</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1、采购32G U盘1100个、笔记本1100本、水杯1100个、雨伞110把等，具体内容详见附件：广西水利电力职业技术学院2023年“新生大礼包”采购清单。</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2、货物交付时间：2023年10月20日前完成供货。</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交付地点：广西区内采购人指定地点。</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3、采购预算为：人民币15.675万元。</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三、资格条件及要求：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1、国内注册（指按国家有关规定要求注册的），符合《中华人民共和国政府采购法》第二十二条规定，具有生产或经营本次采购货物或服务经营资质的公司。</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2、本项目不接受联合体报价，且不得分包、转包。</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四、竞标响应文件编制要求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有意向参与竞标的供应商，应按以下要求编制响应文件。</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1、有统一社会信用代码的营业执照副本复印件 (必须提供)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2、法定代表人授权委托书原件和委托代理人身份证正反面复印件(委托代理时必须提供，格式后附)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3、商务、技术响应、偏离情况说明表(必须提供，格式后附)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4、质量保证及售后服务承诺书(必须提供，格式自拟)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5、项目报价表；(必须提供，格式后附)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6、供应商认为需要提供的有关资料。</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五、报价文件提交截止时间：</w:t>
      </w:r>
      <w:r>
        <w:rPr>
          <w:rFonts w:hint="eastAsia" w:ascii="仿宋" w:hAnsi="仿宋" w:eastAsia="仿宋" w:cs="仿宋"/>
          <w:i w:val="0"/>
          <w:iCs w:val="0"/>
          <w:caps w:val="0"/>
          <w:color w:val="000000"/>
          <w:spacing w:val="0"/>
          <w:kern w:val="0"/>
          <w:sz w:val="28"/>
          <w:szCs w:val="28"/>
          <w:shd w:val="clear" w:fill="FFFFFF"/>
          <w:lang w:val="en-US" w:eastAsia="zh-CN" w:bidi="ar"/>
        </w:rPr>
        <w:t>2023年10月12日下午17：00。</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有意向参与竞价的公司，请按询价公告要求，将响应文件及报价、营业执照及相关资质材料加盖公章后扫描成PDF格式发送到gxsdxyzcgl@163.com参与竞标。</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五、联系事项、</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1、如需对项目进行咨询，请联系：杨老师13367516417。</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2、采购联系人：唐老师，联系电话：0771-2085121。</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0" w:right="-150" w:firstLine="5773" w:firstLineChars="2062"/>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广西水利电力职业技术学院资产管理中心</w:t>
      </w:r>
    </w:p>
    <w:p>
      <w:pPr>
        <w:keepNext w:val="0"/>
        <w:keepLines w:val="0"/>
        <w:widowControl/>
        <w:suppressLineNumbers w:val="0"/>
        <w:shd w:val="clear" w:fill="FFFFFF"/>
        <w:spacing w:before="0" w:beforeAutospacing="0" w:after="150" w:afterAutospacing="0" w:line="500" w:lineRule="atLeast"/>
        <w:ind w:left="0" w:right="-150" w:firstLine="308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2023年10月8日</w:t>
      </w:r>
    </w:p>
    <w:p>
      <w:pPr>
        <w:rPr>
          <w:rFonts w:hint="eastAsia"/>
          <w:lang w:eastAsia="zh-CN"/>
        </w:rPr>
      </w:pPr>
    </w:p>
    <w:p>
      <w:pPr>
        <w:pStyle w:val="4"/>
        <w:rPr>
          <w:rFonts w:hint="eastAsia"/>
          <w:sz w:val="32"/>
          <w:szCs w:val="32"/>
          <w:lang w:eastAsia="zh-CN"/>
        </w:rPr>
      </w:pPr>
    </w:p>
    <w:p>
      <w:pPr>
        <w:pStyle w:val="5"/>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t>第二部分   采购需求</w:t>
      </w: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color w:val="auto"/>
          <w:highlight w:val="none"/>
        </w:rPr>
      </w:pP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bCs/>
          <w:color w:val="auto"/>
          <w:highlight w:val="none"/>
        </w:rPr>
      </w:pPr>
      <w:r>
        <w:rPr>
          <w:rFonts w:hint="eastAsia" w:ascii="宋体" w:hAnsi="宋体"/>
          <w:b/>
          <w:color w:val="auto"/>
          <w:highlight w:val="none"/>
        </w:rPr>
        <w:t>1、</w:t>
      </w:r>
      <w:r>
        <w:rPr>
          <w:rFonts w:ascii="宋体" w:hAnsi="宋体"/>
          <w:b/>
          <w:color w:val="auto"/>
          <w:highlight w:val="none"/>
          <w:lang w:val="en"/>
        </w:rPr>
        <w:t>采购</w:t>
      </w:r>
      <w:r>
        <w:rPr>
          <w:rFonts w:hint="eastAsia" w:ascii="宋体" w:hAnsi="宋体"/>
          <w:b/>
          <w:color w:val="auto"/>
          <w:highlight w:val="none"/>
        </w:rPr>
        <w:t>文</w:t>
      </w:r>
      <w:r>
        <w:rPr>
          <w:rFonts w:hint="eastAsia" w:ascii="宋体" w:hAnsi="宋体"/>
          <w:b/>
          <w:bCs/>
          <w:color w:val="auto"/>
          <w:highlight w:val="none"/>
        </w:rPr>
        <w:t>件标注“★”的条款或要求系指实质性条款或实质性要求，必须满足，如存在负偏离将导致</w:t>
      </w:r>
      <w:r>
        <w:rPr>
          <w:rFonts w:ascii="宋体" w:hAnsi="宋体"/>
          <w:b/>
          <w:bCs/>
          <w:color w:val="auto"/>
          <w:highlight w:val="none"/>
          <w:lang w:val="en"/>
        </w:rPr>
        <w:t>竞标</w:t>
      </w:r>
      <w:r>
        <w:rPr>
          <w:rFonts w:hint="eastAsia" w:ascii="宋体" w:hAnsi="宋体"/>
          <w:b/>
          <w:bCs/>
          <w:color w:val="auto"/>
          <w:highlight w:val="none"/>
        </w:rPr>
        <w:t>被否决。</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2、如</w:t>
      </w:r>
      <w:r>
        <w:rPr>
          <w:rFonts w:ascii="宋体" w:hAnsi="宋体"/>
          <w:b/>
          <w:bCs/>
          <w:color w:val="auto"/>
          <w:highlight w:val="none"/>
          <w:lang w:val="en"/>
        </w:rPr>
        <w:t>竞标</w:t>
      </w:r>
      <w:r>
        <w:rPr>
          <w:rFonts w:hint="eastAsia" w:ascii="宋体" w:hAnsi="宋体"/>
          <w:b/>
          <w:bCs/>
          <w:color w:val="auto"/>
          <w:highlight w:val="none"/>
        </w:rPr>
        <w:t>人</w:t>
      </w:r>
      <w:r>
        <w:rPr>
          <w:rFonts w:ascii="宋体" w:hAnsi="宋体"/>
          <w:b/>
          <w:bCs/>
          <w:color w:val="auto"/>
          <w:highlight w:val="none"/>
          <w:lang w:val="en"/>
        </w:rPr>
        <w:t>竞标</w:t>
      </w:r>
      <w:r>
        <w:rPr>
          <w:rFonts w:hint="eastAsia" w:ascii="宋体" w:hAnsi="宋体"/>
          <w:b/>
          <w:bCs/>
          <w:color w:val="auto"/>
          <w:highlight w:val="none"/>
        </w:rPr>
        <w:t>产品存在侵犯他人的知识产权或者专利成果行为的，应承担相应法律责任。</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3、本一览表中技术参数性能（配置）不明确或有误的，或</w:t>
      </w:r>
      <w:r>
        <w:rPr>
          <w:rFonts w:hint="eastAsia" w:ascii="宋体" w:hAnsi="宋体"/>
          <w:b/>
          <w:bCs/>
          <w:color w:val="auto"/>
          <w:highlight w:val="none"/>
          <w:lang w:val="en"/>
        </w:rPr>
        <w:t>竞标</w:t>
      </w:r>
      <w:r>
        <w:rPr>
          <w:rFonts w:hint="eastAsia" w:ascii="宋体" w:hAnsi="宋体"/>
          <w:b/>
          <w:bCs/>
          <w:color w:val="auto"/>
          <w:highlight w:val="none"/>
        </w:rPr>
        <w:t>人选用其他品牌型号替代的,请以详细、正确的品牌型号、技术参数配备要求填写</w:t>
      </w:r>
      <w:r>
        <w:rPr>
          <w:rFonts w:hint="eastAsia" w:ascii="宋体" w:hAnsi="宋体"/>
          <w:b/>
          <w:bCs/>
          <w:color w:val="auto"/>
          <w:highlight w:val="none"/>
          <w:lang w:val="en"/>
        </w:rPr>
        <w:t>竞标</w:t>
      </w:r>
      <w:r>
        <w:rPr>
          <w:rFonts w:hint="eastAsia" w:ascii="宋体" w:hAnsi="宋体"/>
          <w:b/>
          <w:bCs/>
          <w:color w:val="auto"/>
          <w:highlight w:val="none"/>
        </w:rPr>
        <w:t>报价表和技术规格偏离表。</w:t>
      </w:r>
      <w:r>
        <w:rPr>
          <w:rFonts w:hint="eastAsia" w:ascii="宋体" w:hAnsi="宋体"/>
          <w:b/>
          <w:bCs/>
          <w:color w:val="auto"/>
          <w:highlight w:val="none"/>
          <w:lang w:val="en"/>
        </w:rPr>
        <w:t>竞标</w:t>
      </w:r>
      <w:r>
        <w:rPr>
          <w:rFonts w:hint="eastAsia" w:ascii="宋体" w:hAnsi="宋体"/>
          <w:b/>
          <w:bCs/>
          <w:color w:val="auto"/>
          <w:highlight w:val="none"/>
        </w:rPr>
        <w:t>人须根据技术参数及配备要求提供对应的技术响应偏离表。</w:t>
      </w:r>
    </w:p>
    <w:p>
      <w:pPr>
        <w:pStyle w:val="2"/>
        <w:ind w:left="0" w:leftChars="0" w:firstLine="0" w:firstLineChars="0"/>
        <w:rPr>
          <w:rFonts w:hint="eastAsia"/>
          <w:sz w:val="32"/>
          <w:szCs w:val="32"/>
          <w:lang w:eastAsia="zh-CN"/>
        </w:rPr>
      </w:pPr>
    </w:p>
    <w:p>
      <w:pPr>
        <w:pStyle w:val="2"/>
        <w:ind w:left="0" w:leftChars="0" w:firstLine="0" w:firstLineChars="0"/>
        <w:rPr>
          <w:rFonts w:hint="default"/>
          <w:sz w:val="28"/>
          <w:szCs w:val="28"/>
          <w:lang w:val="en-US" w:eastAsia="zh-CN"/>
        </w:rPr>
      </w:pPr>
      <w:r>
        <w:rPr>
          <w:rFonts w:hint="eastAsia"/>
          <w:sz w:val="28"/>
          <w:szCs w:val="28"/>
          <w:lang w:eastAsia="zh-CN"/>
        </w:rPr>
        <w:t>采购预算：</w:t>
      </w:r>
      <w:r>
        <w:rPr>
          <w:rFonts w:hint="eastAsia"/>
          <w:sz w:val="28"/>
          <w:szCs w:val="28"/>
          <w:lang w:val="en-US" w:eastAsia="zh-CN"/>
        </w:rPr>
        <w:t>15.675万元</w:t>
      </w:r>
    </w:p>
    <w:tbl>
      <w:tblPr>
        <w:tblStyle w:val="7"/>
        <w:tblW w:w="13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5"/>
        <w:gridCol w:w="1305"/>
        <w:gridCol w:w="5790"/>
        <w:gridCol w:w="3930"/>
        <w:gridCol w:w="67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货物或项目名称 </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参考品牌型号规格或配置技术参数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货物或项目图片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trPr>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 U盘</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32GB，USB3.2接口，读取速度200MB/s，写入速度20MB/s，有钥匙孔，净重（g）约4g，金属外壳。选择品牌：金士顿DTKN/32GB【32G】 、闪迪酷铄(CZ73)【32G】 、联想SX1【32G】。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294640</wp:posOffset>
                  </wp:positionH>
                  <wp:positionV relativeFrom="paragraph">
                    <wp:posOffset>88265</wp:posOffset>
                  </wp:positionV>
                  <wp:extent cx="2086610" cy="1210945"/>
                  <wp:effectExtent l="0" t="0" r="8890" b="8255"/>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4"/>
                          <a:stretch>
                            <a:fillRect/>
                          </a:stretch>
                        </pic:blipFill>
                        <pic:spPr>
                          <a:xfrm>
                            <a:off x="0" y="0"/>
                            <a:ext cx="2086610" cy="1210945"/>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面皮感封面，a5，高21omm，宽145mm，360页，加厚100g米黄色纸张，每页18行，10mm行间距，锁线装订，可360°翻页，自带书签，自带笔插，定制封面。至少提供5中不同颜色封面的笔记本。选择品牌：晨光文具【A5黑色皮面本160页】、得力文具【A5黑色皮面本360页】、三木文具【A5黑色400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380365</wp:posOffset>
                  </wp:positionH>
                  <wp:positionV relativeFrom="paragraph">
                    <wp:posOffset>55880</wp:posOffset>
                  </wp:positionV>
                  <wp:extent cx="1686560" cy="1010285"/>
                  <wp:effectExtent l="0" t="0" r="8890" b="1841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5"/>
                          <a:stretch>
                            <a:fillRect/>
                          </a:stretch>
                        </pic:blipFill>
                        <pic:spPr>
                          <a:xfrm>
                            <a:off x="0" y="0"/>
                            <a:ext cx="1686560" cy="1010285"/>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水杯</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700ML,尺寸：65mm*230mm；纯净Tritan材质，不含双酚A，健康无异味，耐高温，不变形，抗压耐摔，加厚材质，圆润光滑杯口；360°密封，内置加厚密封圈，倒置不漏水可拆卸提绳。选择品牌：富光水杯【灰/蓝700ml】、特百惠水杯、乐扣乐扣水杯【白700ml】。</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89535</wp:posOffset>
                  </wp:positionV>
                  <wp:extent cx="2295525" cy="2089150"/>
                  <wp:effectExtent l="0" t="0" r="9525" b="635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6"/>
                          <a:stretch>
                            <a:fillRect/>
                          </a:stretch>
                        </pic:blipFill>
                        <pic:spPr>
                          <a:xfrm>
                            <a:off x="0" y="0"/>
                            <a:ext cx="2295525" cy="2089150"/>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雨伞</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伞面涂层：全遮光黑胶，强力防晒，防雨，晴雨两用，防晒值：UPF50+  UVA＜5﹪；55cm*8骨，全钢主杆，纤维支骨，三折；伞布面料：涤纶(聚酯纤维)，打开方式：手动，橡胶漆手柄。执行标准： GB/T 23147-2008。同系列雨伞提供不同款式供选择。选择品牌：天堂雨伞【8骨】、美度雨伞【8骨】、左都雨伞【8骨】。</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90170</wp:posOffset>
                  </wp:positionH>
                  <wp:positionV relativeFrom="paragraph">
                    <wp:posOffset>71755</wp:posOffset>
                  </wp:positionV>
                  <wp:extent cx="2270760" cy="2017395"/>
                  <wp:effectExtent l="0" t="0" r="15240" b="1905"/>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7"/>
                          <a:stretch>
                            <a:fillRect/>
                          </a:stretch>
                        </pic:blipFill>
                        <pic:spPr>
                          <a:xfrm>
                            <a:off x="0" y="0"/>
                            <a:ext cx="2270760" cy="2017395"/>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帆布包</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定制帆布袋，16安帆布，长36cm，宽10cm，高27cm，上口磁吸扣，里面有带拉链内兜，布料手提袋，加印校徽和指定颜色、图案。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78105</wp:posOffset>
                  </wp:positionH>
                  <wp:positionV relativeFrom="paragraph">
                    <wp:posOffset>41910</wp:posOffset>
                  </wp:positionV>
                  <wp:extent cx="2216785" cy="1249680"/>
                  <wp:effectExtent l="0" t="0" r="12065" b="7620"/>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8"/>
                          <a:stretch>
                            <a:fillRect/>
                          </a:stretch>
                        </pic:blipFill>
                        <pic:spPr>
                          <a:xfrm>
                            <a:off x="0" y="0"/>
                            <a:ext cx="2216785" cy="1249680"/>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洗发水</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总净含量400g/瓶，保质期3年，非临期产品。长效清爽，去屑、控油、滋润，清香宜人。同系列产品提供多种不同香型。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选择品牌：飘柔洗发水【400g】、沙宣洗发水【310g】、海飞丝洗发水【480g】 </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194945</wp:posOffset>
                  </wp:positionH>
                  <wp:positionV relativeFrom="paragraph">
                    <wp:posOffset>65405</wp:posOffset>
                  </wp:positionV>
                  <wp:extent cx="2047240" cy="1677670"/>
                  <wp:effectExtent l="0" t="0" r="10160" b="17780"/>
                  <wp:wrapNone/>
                  <wp:docPr id="2" name="图片_3_SpCnt_1"/>
                  <wp:cNvGraphicFramePr/>
                  <a:graphic xmlns:a="http://schemas.openxmlformats.org/drawingml/2006/main">
                    <a:graphicData uri="http://schemas.openxmlformats.org/drawingml/2006/picture">
                      <pic:pic xmlns:pic="http://schemas.openxmlformats.org/drawingml/2006/picture">
                        <pic:nvPicPr>
                          <pic:cNvPr id="2" name="图片_3_SpCnt_1"/>
                          <pic:cNvPicPr/>
                        </pic:nvPicPr>
                        <pic:blipFill>
                          <a:blip r:embed="rId9"/>
                          <a:stretch>
                            <a:fillRect/>
                          </a:stretch>
                        </pic:blipFill>
                        <pic:spPr>
                          <a:xfrm>
                            <a:off x="0" y="0"/>
                            <a:ext cx="2047240" cy="1677670"/>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5" w:hRule="atLeast"/>
        </w:trPr>
        <w:tc>
          <w:tcPr>
            <w:tcW w:w="10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沐浴露</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总净含量400g/瓶，保质期3年，非临期产品。清香怡人，泡沫丰富，易于冲洗。选择品牌：舒肤佳沐浴露【400g】845250型号、力士沐浴露【600g】、OLAY沐浴露【500g】。 同系列产品提供多种不同香型。 同系列产品提供多种不同香型。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523875</wp:posOffset>
                  </wp:positionH>
                  <wp:positionV relativeFrom="paragraph">
                    <wp:posOffset>54610</wp:posOffset>
                  </wp:positionV>
                  <wp:extent cx="1593850" cy="2124075"/>
                  <wp:effectExtent l="0" t="0" r="6350" b="9525"/>
                  <wp:wrapNone/>
                  <wp:docPr id="1" name="图片_14"/>
                  <wp:cNvGraphicFramePr/>
                  <a:graphic xmlns:a="http://schemas.openxmlformats.org/drawingml/2006/main">
                    <a:graphicData uri="http://schemas.openxmlformats.org/drawingml/2006/picture">
                      <pic:pic xmlns:pic="http://schemas.openxmlformats.org/drawingml/2006/picture">
                        <pic:nvPicPr>
                          <pic:cNvPr id="1" name="图片_14"/>
                          <pic:cNvPicPr/>
                        </pic:nvPicPr>
                        <pic:blipFill>
                          <a:blip r:embed="rId10"/>
                          <a:stretch>
                            <a:fillRect/>
                          </a:stretch>
                        </pic:blipFill>
                        <pic:spPr>
                          <a:xfrm>
                            <a:off x="0" y="0"/>
                            <a:ext cx="1593850" cy="2124075"/>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w:t>
            </w:r>
          </w:p>
        </w:tc>
      </w:tr>
    </w:tbl>
    <w:p>
      <w:pPr>
        <w:pageBreakBefore w:val="0"/>
        <w:kinsoku/>
        <w:wordWrap/>
        <w:overflowPunct/>
        <w:topLinePunct w:val="0"/>
        <w:autoSpaceDE/>
        <w:autoSpaceDN/>
        <w:bidi w:val="0"/>
        <w:adjustRightInd/>
        <w:snapToGrid/>
        <w:spacing w:line="360" w:lineRule="exact"/>
      </w:pPr>
    </w:p>
    <w:tbl>
      <w:tblPr>
        <w:tblStyle w:val="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3"/>
        <w:gridCol w:w="12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kern w:val="0"/>
                <w:sz w:val="21"/>
                <w:szCs w:val="21"/>
              </w:rPr>
            </w:pPr>
            <w:r>
              <w:rPr>
                <w:rFonts w:hint="eastAsia" w:ascii="宋体" w:hAnsi="宋体"/>
                <w:b/>
                <w:sz w:val="21"/>
                <w:szCs w:val="21"/>
                <w:lang w:eastAsia="zh-CN"/>
              </w:rPr>
              <w:t>二、</w:t>
            </w:r>
            <w:r>
              <w:rPr>
                <w:rFonts w:hint="eastAsia" w:ascii="宋体" w:hAnsi="宋体"/>
                <w:b/>
                <w:sz w:val="21"/>
                <w:szCs w:val="21"/>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★合同签订期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成交后，供应商应在3个日历日内与采购人签订项目合同。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★付款条件</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eastAsia="金山简黑体"/>
                <w:sz w:val="21"/>
                <w:szCs w:val="21"/>
                <w:lang w:val="en-US" w:eastAsia="zh-CN"/>
              </w:rPr>
            </w:pPr>
            <w:r>
              <w:rPr>
                <w:rFonts w:hint="eastAsia" w:ascii="宋体" w:hAnsi="宋体" w:eastAsia="宋体" w:cs="宋体"/>
                <w:i w:val="0"/>
                <w:iCs w:val="0"/>
                <w:color w:val="000000"/>
                <w:kern w:val="0"/>
                <w:sz w:val="24"/>
                <w:szCs w:val="24"/>
                <w:u w:val="none"/>
                <w:lang w:val="en-US" w:eastAsia="zh-CN" w:bidi="ar"/>
              </w:rPr>
              <w:t>供货完毕并经采购人验收合格后，一次性转帐支付100﹪的项目货款。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★交货时间及地点</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highlight w:val="yellow"/>
              </w:rPr>
            </w:pPr>
            <w:r>
              <w:rPr>
                <w:rFonts w:hint="eastAsia" w:ascii="宋体" w:hAnsi="宋体" w:eastAsia="宋体" w:cs="宋体"/>
                <w:i w:val="0"/>
                <w:iCs w:val="0"/>
                <w:color w:val="000000"/>
                <w:kern w:val="0"/>
                <w:sz w:val="24"/>
                <w:szCs w:val="24"/>
                <w:u w:val="none"/>
                <w:lang w:val="en-US" w:eastAsia="zh-CN" w:bidi="ar"/>
              </w:rPr>
              <w:t>交货要求：成交后10个工作日内完成供货并交付验收合格。地点：广西区采购人指定地点。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sz w:val="21"/>
                <w:szCs w:val="21"/>
                <w:lang w:eastAsia="zh-CN"/>
              </w:rPr>
            </w:pPr>
            <w:r>
              <w:rPr>
                <w:rFonts w:hint="eastAsia" w:ascii="宋体" w:hAnsi="宋体" w:eastAsia="宋体" w:cs="宋体"/>
                <w:i w:val="0"/>
                <w:iCs w:val="0"/>
                <w:color w:val="000000"/>
                <w:kern w:val="0"/>
                <w:sz w:val="24"/>
                <w:szCs w:val="24"/>
                <w:u w:val="none"/>
                <w:lang w:val="en-US" w:eastAsia="zh-CN" w:bidi="ar"/>
              </w:rPr>
              <w:t>★质保期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仿宋"/>
                <w:kern w:val="0"/>
                <w:sz w:val="21"/>
                <w:szCs w:val="21"/>
                <w:lang w:val="zh-CN"/>
              </w:rPr>
            </w:pPr>
            <w:r>
              <w:rPr>
                <w:rFonts w:hint="eastAsia" w:ascii="宋体" w:hAnsi="宋体" w:eastAsia="宋体" w:cs="宋体"/>
                <w:i w:val="0"/>
                <w:iCs w:val="0"/>
                <w:color w:val="000000"/>
                <w:kern w:val="0"/>
                <w:sz w:val="24"/>
                <w:szCs w:val="24"/>
                <w:u w:val="none"/>
                <w:lang w:val="en-US" w:eastAsia="zh-CN" w:bidi="ar"/>
              </w:rPr>
              <w:t>货物质量符合国家行业质量标准，并按国家有关规定或厂家承诺实行“三包”。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b/>
                <w:sz w:val="21"/>
                <w:szCs w:val="21"/>
                <w:lang w:eastAsia="zh-CN"/>
              </w:rPr>
            </w:pPr>
            <w:r>
              <w:rPr>
                <w:rFonts w:hint="eastAsia" w:ascii="宋体" w:hAnsi="宋体" w:eastAsia="宋体" w:cs="宋体"/>
                <w:i w:val="0"/>
                <w:iCs w:val="0"/>
                <w:color w:val="000000"/>
                <w:kern w:val="0"/>
                <w:sz w:val="24"/>
                <w:szCs w:val="24"/>
                <w:u w:val="none"/>
                <w:lang w:val="en-US" w:eastAsia="zh-CN" w:bidi="ar"/>
              </w:rPr>
              <w:t>售后服务要求</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sz w:val="21"/>
                <w:szCs w:val="21"/>
              </w:rPr>
            </w:pPr>
            <w:r>
              <w:rPr>
                <w:rFonts w:hint="eastAsia" w:ascii="宋体" w:hAnsi="宋体" w:eastAsia="宋体" w:cs="宋体"/>
                <w:i w:val="0"/>
                <w:iCs w:val="0"/>
                <w:color w:val="000000"/>
                <w:kern w:val="0"/>
                <w:sz w:val="24"/>
                <w:szCs w:val="24"/>
                <w:u w:val="none"/>
                <w:lang w:val="en-US" w:eastAsia="zh-CN" w:bidi="ar"/>
              </w:rPr>
              <w:t>1、免费送货上门。2、成交供应商负责处理解决货物出现的质量及安全问题并承担一切费用，交货后一个月内，所有非故意性损坏以及正常使用范围内造成的损坏均应按国家“三包”政策提供售后服务（免费更换或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竞标报价为采购人指定地点的现场交货价，包括（但不限于）：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1、服务的价格：包括货款、杂配件、安装调试费、验收费；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2、产品的标准附件、备品备件、专用工具的价格。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3、运输、装卸、技术支持、售后服务费。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4、招标代理服务费、保险费和各项税金。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注：供应商自行考虑完成项目所需的辅材、杂配件等数量，竞标报价中应包含全部内容，成交后采购人不再另行支付额外费用。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采购人对项目的特殊要求及说明</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1、为防止虚假应标，验收前采购人有权要求成交人提供泵项目中的货物到采购人处进行技术与功能的验证，如不参与验证以及验证不达到项目需求要求的，将不予验收。                                                    2、采购需求中“实质性要求”是指带“★”的项目条款或者不能负偏离的项目条款或已经指明不满足按响应文件作无效处理的项目条款。</w:t>
            </w:r>
          </w:p>
        </w:tc>
      </w:tr>
    </w:tbl>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第三部分  格式文件</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sz w:val="36"/>
          <w:szCs w:val="36"/>
        </w:rPr>
        <w:t>法定代表人授权委托书（如有委托时）</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同志为我公司参加贵单位组织的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bookmarkStart w:id="24" w:name="_GoBack"/>
      <w:bookmarkEnd w:id="24"/>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活动的委托代理人，全权代表我公司处理在该项目活动中的一切事宜。</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日起至   年  月  日止。</w:t>
      </w:r>
    </w:p>
    <w:p>
      <w:pPr>
        <w:pStyle w:val="5"/>
        <w:pageBreakBefore w:val="0"/>
        <w:kinsoku/>
        <w:wordWrap/>
        <w:topLinePunct w:val="0"/>
        <w:autoSpaceDE/>
        <w:autoSpaceDN/>
        <w:bidi w:val="0"/>
        <w:adjustRightInd/>
        <w:snapToGrid/>
        <w:spacing w:before="0" w:after="0" w:line="500" w:lineRule="exact"/>
        <w:ind w:firstLine="422" w:firstLineChars="200"/>
        <w:jc w:val="both"/>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代理人无转委托权。</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kinsoku w:val="0"/>
        <w:wordWrap/>
        <w:overflowPunct w:val="0"/>
        <w:topLinePunct w:val="0"/>
        <w:autoSpaceDE w:val="0"/>
        <w:autoSpaceDN w:val="0"/>
        <w:bidi w:val="0"/>
        <w:adjustRightInd w:val="0"/>
        <w:snapToGrid w:val="0"/>
        <w:spacing w:line="253" w:lineRule="auto"/>
        <w:jc w:val="left"/>
        <w:textAlignment w:val="baseline"/>
        <w:rPr>
          <w:rFonts w:ascii="Arial" w:hAnsi="Arial" w:cs="Arial"/>
          <w:snapToGrid w:val="0"/>
          <w:color w:val="auto"/>
          <w:kern w:val="0"/>
          <w:sz w:val="21"/>
          <w:szCs w:val="21"/>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519" w:lineRule="exact"/>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20"/>
          <w:kern w:val="0"/>
          <w:position w:val="24"/>
          <w:sz w:val="21"/>
          <w:szCs w:val="21"/>
          <w:highlight w:val="none"/>
        </w:rPr>
        <w:t>法</w:t>
      </w:r>
      <w:r>
        <w:rPr>
          <w:rFonts w:ascii="宋体" w:hAnsi="宋体" w:eastAsia="宋体" w:cs="宋体"/>
          <w:snapToGrid w:val="0"/>
          <w:color w:val="auto"/>
          <w:spacing w:val="11"/>
          <w:kern w:val="0"/>
          <w:position w:val="24"/>
          <w:sz w:val="21"/>
          <w:szCs w:val="21"/>
          <w:highlight w:val="none"/>
        </w:rPr>
        <w:t>定代表人(签字或盖章)：</w:t>
      </w:r>
    </w:p>
    <w:p>
      <w:pPr>
        <w:keepNext w:val="0"/>
        <w:keepLines w:val="0"/>
        <w:pageBreakBefore w:val="0"/>
        <w:widowControl/>
        <w:kinsoku w:val="0"/>
        <w:wordWrap/>
        <w:overflowPunct w:val="0"/>
        <w:topLinePunct w:val="0"/>
        <w:autoSpaceDE w:val="0"/>
        <w:autoSpaceDN w:val="0"/>
        <w:bidi w:val="0"/>
        <w:adjustRightInd w:val="0"/>
        <w:snapToGrid w:val="0"/>
        <w:spacing w:line="219" w:lineRule="auto"/>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8"/>
          <w:kern w:val="0"/>
          <w:sz w:val="21"/>
          <w:szCs w:val="21"/>
          <w:highlight w:val="none"/>
        </w:rPr>
        <w:t>签</w:t>
      </w:r>
      <w:r>
        <w:rPr>
          <w:rFonts w:ascii="宋体" w:hAnsi="宋体" w:eastAsia="宋体" w:cs="宋体"/>
          <w:snapToGrid w:val="0"/>
          <w:color w:val="auto"/>
          <w:spacing w:val="-6"/>
          <w:kern w:val="0"/>
          <w:sz w:val="21"/>
          <w:szCs w:val="21"/>
          <w:highlight w:val="none"/>
        </w:rPr>
        <w:t>发</w:t>
      </w:r>
      <w:r>
        <w:rPr>
          <w:rFonts w:ascii="宋体" w:hAnsi="宋体" w:eastAsia="宋体" w:cs="宋体"/>
          <w:snapToGrid w:val="0"/>
          <w:color w:val="auto"/>
          <w:spacing w:val="-4"/>
          <w:kern w:val="0"/>
          <w:sz w:val="21"/>
          <w:szCs w:val="21"/>
          <w:highlight w:val="none"/>
        </w:rPr>
        <w:t>日期：    年  月  日</w:t>
      </w:r>
    </w:p>
    <w:p>
      <w:pPr>
        <w:widowControl/>
        <w:kinsoku w:val="0"/>
        <w:autoSpaceDE w:val="0"/>
        <w:autoSpaceDN w:val="0"/>
        <w:adjustRightInd w:val="0"/>
        <w:snapToGrid w:val="0"/>
        <w:spacing w:line="358"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line="359"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before="69" w:line="219" w:lineRule="auto"/>
        <w:ind w:left="16"/>
        <w:jc w:val="left"/>
        <w:textAlignment w:val="baseline"/>
        <w:rPr>
          <w:rFonts w:hint="eastAsia" w:ascii="宋体" w:hAnsi="宋体" w:eastAsia="宋体" w:cs="宋体"/>
          <w:snapToGrid w:val="0"/>
          <w:color w:val="auto"/>
          <w:spacing w:val="-2"/>
          <w:kern w:val="0"/>
          <w:sz w:val="21"/>
          <w:szCs w:val="21"/>
          <w:highlight w:val="none"/>
          <w:lang w:eastAsia="zh-CN"/>
        </w:rPr>
      </w:pPr>
      <w:r>
        <w:rPr>
          <w:rFonts w:ascii="宋体" w:hAnsi="宋体" w:eastAsia="宋体" w:cs="宋体"/>
          <w:snapToGrid w:val="0"/>
          <w:color w:val="auto"/>
          <w:spacing w:val="-3"/>
          <w:kern w:val="0"/>
          <w:sz w:val="21"/>
          <w:szCs w:val="21"/>
          <w:highlight w:val="none"/>
        </w:rPr>
        <w:t>附</w:t>
      </w:r>
      <w:r>
        <w:rPr>
          <w:rFonts w:ascii="宋体" w:hAnsi="宋体" w:eastAsia="宋体" w:cs="宋体"/>
          <w:snapToGrid w:val="0"/>
          <w:color w:val="auto"/>
          <w:spacing w:val="-2"/>
          <w:kern w:val="0"/>
          <w:sz w:val="21"/>
          <w:szCs w:val="21"/>
          <w:highlight w:val="none"/>
        </w:rPr>
        <w:t>：委托代理人</w:t>
      </w:r>
      <w:r>
        <w:rPr>
          <w:rFonts w:hint="eastAsia" w:ascii="宋体" w:hAnsi="宋体" w:eastAsia="宋体" w:cs="宋体"/>
          <w:snapToGrid w:val="0"/>
          <w:color w:val="auto"/>
          <w:spacing w:val="-2"/>
          <w:kern w:val="0"/>
          <w:sz w:val="21"/>
          <w:szCs w:val="21"/>
          <w:highlight w:val="none"/>
          <w:lang w:eastAsia="zh-CN"/>
        </w:rPr>
        <w:t>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color w:val="auto"/>
          <w:sz w:val="21"/>
          <w:szCs w:val="21"/>
          <w:highlight w:val="none"/>
        </w:rPr>
      </w:pPr>
      <w:r>
        <w:rPr>
          <w:rFonts w:hint="eastAsia" w:ascii="宋体" w:hAnsi="宋体" w:eastAsia="宋体" w:cs="宋体"/>
          <w:snapToGrid w:val="0"/>
          <w:color w:val="auto"/>
          <w:spacing w:val="-2"/>
          <w:kern w:val="0"/>
          <w:sz w:val="21"/>
          <w:szCs w:val="21"/>
          <w:highlight w:val="none"/>
          <w:lang w:eastAsia="zh-CN"/>
        </w:rPr>
        <w:t>姓名：</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性别：</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职务：</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ascii="宋体" w:hAnsi="宋体" w:eastAsia="宋体" w:cs="宋体"/>
          <w:snapToGrid w:val="0"/>
          <w:color w:val="auto"/>
          <w:spacing w:val="-12"/>
          <w:kern w:val="0"/>
          <w:sz w:val="21"/>
          <w:szCs w:val="21"/>
          <w:highlight w:val="none"/>
        </w:rPr>
        <w:t>身</w:t>
      </w:r>
      <w:r>
        <w:rPr>
          <w:rFonts w:ascii="宋体" w:hAnsi="宋体" w:eastAsia="宋体" w:cs="宋体"/>
          <w:snapToGrid w:val="0"/>
          <w:color w:val="auto"/>
          <w:spacing w:val="-8"/>
          <w:kern w:val="0"/>
          <w:sz w:val="21"/>
          <w:szCs w:val="21"/>
          <w:highlight w:val="none"/>
        </w:rPr>
        <w:t>份证号码：</w:t>
      </w:r>
      <w:r>
        <w:rPr>
          <w:rFonts w:hint="eastAsia" w:ascii="宋体" w:hAnsi="宋体" w:eastAsia="宋体" w:cs="宋体"/>
          <w:snapToGrid w:val="0"/>
          <w:color w:val="auto"/>
          <w:spacing w:val="-8"/>
          <w:kern w:val="0"/>
          <w:sz w:val="21"/>
          <w:szCs w:val="21"/>
          <w:highlight w:val="none"/>
          <w:u w:val="single"/>
          <w:lang w:val="en-US" w:eastAsia="zh-CN"/>
        </w:rPr>
        <w:t xml:space="preserve">                  </w:t>
      </w:r>
    </w:p>
    <w:p>
      <w:pPr>
        <w:widowControl/>
        <w:kinsoku w:val="0"/>
        <w:autoSpaceDE w:val="0"/>
        <w:autoSpaceDN w:val="0"/>
        <w:adjustRightInd w:val="0"/>
        <w:snapToGrid w:val="0"/>
        <w:spacing w:line="34" w:lineRule="exact"/>
        <w:jc w:val="left"/>
        <w:textAlignment w:val="baseline"/>
        <w:rPr>
          <w:rFonts w:ascii="Arial" w:hAnsi="Arial" w:cs="Arial"/>
          <w:snapToGrid w:val="0"/>
          <w:color w:val="auto"/>
          <w:kern w:val="0"/>
          <w:szCs w:val="21"/>
          <w:highlight w:val="none"/>
        </w:rPr>
      </w:pPr>
    </w:p>
    <w:tbl>
      <w:tblPr>
        <w:tblStyle w:val="11"/>
        <w:tblW w:w="8661" w:type="dxa"/>
        <w:tblInd w:w="2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04" w:hRule="atLeast"/>
        </w:trPr>
        <w:tc>
          <w:tcPr>
            <w:tcW w:w="8661" w:type="dxa"/>
            <w:noWrap w:val="0"/>
            <w:vAlign w:val="top"/>
          </w:tcPr>
          <w:p>
            <w:pPr>
              <w:widowControl/>
              <w:kinsoku w:val="0"/>
              <w:autoSpaceDE w:val="0"/>
              <w:autoSpaceDN w:val="0"/>
              <w:adjustRightInd w:val="0"/>
              <w:snapToGrid w:val="0"/>
              <w:spacing w:before="93" w:line="220" w:lineRule="auto"/>
              <w:ind w:left="11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粘贴委托代理人的</w:t>
            </w:r>
            <w:r>
              <w:rPr>
                <w:rFonts w:ascii="宋体" w:hAnsi="宋体" w:eastAsia="宋体" w:cs="宋体"/>
                <w:snapToGrid w:val="0"/>
                <w:color w:val="auto"/>
                <w:kern w:val="0"/>
                <w:szCs w:val="21"/>
                <w:highlight w:val="none"/>
              </w:rPr>
              <w:t>正面及反面身份证复印件</w:t>
            </w:r>
          </w:p>
        </w:tc>
      </w:tr>
    </w:tbl>
    <w:p>
      <w:pPr>
        <w:widowControl/>
        <w:kinsoku w:val="0"/>
        <w:autoSpaceDE w:val="0"/>
        <w:autoSpaceDN w:val="0"/>
        <w:adjustRightInd w:val="0"/>
        <w:snapToGrid w:val="0"/>
        <w:spacing w:line="14" w:lineRule="auto"/>
        <w:jc w:val="left"/>
        <w:textAlignment w:val="baseline"/>
        <w:rPr>
          <w:rFonts w:ascii="Arial" w:hAnsi="Arial" w:cs="Arial"/>
          <w:snapToGrid w:val="0"/>
          <w:color w:val="auto"/>
          <w:kern w:val="0"/>
          <w:sz w:val="2"/>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pgSz w:w="16838" w:h="11905" w:orient="landscape"/>
          <w:pgMar w:top="1417" w:right="1429" w:bottom="1134" w:left="1157" w:header="0" w:footer="998" w:gutter="0"/>
          <w:pgNumType w:fmt="decimal"/>
          <w:cols w:space="720" w:num="1"/>
          <w:rtlGutter w:val="0"/>
          <w:docGrid w:linePitch="1" w:charSpace="0"/>
        </w:sect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lang w:val="en-US" w:eastAsia="zh-CN"/>
        </w:rPr>
      </w:pPr>
      <w:bookmarkStart w:id="0" w:name="_Toc1821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p>
    <w:p>
      <w:pPr>
        <w:spacing w:line="500" w:lineRule="exact"/>
        <w:jc w:val="center"/>
        <w:rPr>
          <w:rFonts w:ascii="仿宋_GB2312" w:hAnsi="仿宋_GB2312" w:eastAsia="仿宋_GB2312"/>
          <w:b/>
          <w:color w:val="auto"/>
          <w:sz w:val="32"/>
          <w:szCs w:val="32"/>
          <w:highlight w:val="none"/>
        </w:rPr>
      </w:pPr>
      <w:r>
        <w:rPr>
          <w:rFonts w:hint="eastAsia" w:ascii="华文中宋" w:hAnsi="华文中宋" w:eastAsia="华文中宋" w:cs="华文中宋"/>
          <w:sz w:val="36"/>
          <w:szCs w:val="36"/>
        </w:rPr>
        <w:t>报  价  表</w:t>
      </w:r>
    </w:p>
    <w:p>
      <w:pPr>
        <w:spacing w:line="500" w:lineRule="exact"/>
        <w:rPr>
          <w:rFonts w:hint="eastAsia" w:ascii="宋体" w:hAnsi="宋体"/>
          <w:color w:val="auto"/>
          <w:highlight w:val="none"/>
        </w:rPr>
      </w:pPr>
    </w:p>
    <w:p>
      <w:pP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7"/>
        <w:tblW w:w="9753" w:type="dxa"/>
        <w:tblInd w:w="0" w:type="dxa"/>
        <w:tblLayout w:type="fixed"/>
        <w:tblCellMar>
          <w:top w:w="0" w:type="dxa"/>
          <w:left w:w="108" w:type="dxa"/>
          <w:bottom w:w="0" w:type="dxa"/>
          <w:right w:w="108" w:type="dxa"/>
        </w:tblCellMar>
      </w:tblPr>
      <w:tblGrid>
        <w:gridCol w:w="456"/>
        <w:gridCol w:w="1010"/>
        <w:gridCol w:w="1266"/>
        <w:gridCol w:w="712"/>
        <w:gridCol w:w="899"/>
        <w:gridCol w:w="2179"/>
        <w:gridCol w:w="1229"/>
        <w:gridCol w:w="1418"/>
        <w:gridCol w:w="584"/>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spacing w:val="-29"/>
                <w:highlight w:val="none"/>
              </w:rPr>
            </w:pPr>
            <w:r>
              <w:rPr>
                <w:rFonts w:hint="eastAsia"/>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货物名称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单位</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技术参数及性能配置</w:t>
            </w:r>
          </w:p>
          <w:p>
            <w:pPr>
              <w:tabs>
                <w:tab w:val="left" w:pos="180"/>
                <w:tab w:val="left" w:pos="1620"/>
              </w:tabs>
              <w:jc w:val="center"/>
              <w:rPr>
                <w:rFonts w:ascii="宋体" w:hAnsi="宋体"/>
                <w:color w:val="auto"/>
                <w:highlight w:val="none"/>
              </w:rPr>
            </w:pPr>
            <w:r>
              <w:rPr>
                <w:rFonts w:hint="eastAsia" w:ascii="宋体" w:hAnsi="宋体"/>
                <w:color w:val="auto"/>
                <w:highlight w:val="none"/>
              </w:rPr>
              <w:t>要求</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单项合价</w:t>
            </w:r>
          </w:p>
          <w:p>
            <w:pPr>
              <w:pStyle w:val="6"/>
              <w:jc w:val="center"/>
              <w:rPr>
                <w:color w:val="auto"/>
                <w:highlight w:val="none"/>
              </w:rPr>
            </w:pPr>
            <w:r>
              <w:rPr>
                <w:rFonts w:hint="eastAsia"/>
                <w:color w:val="auto"/>
                <w:highlight w:val="none"/>
              </w:rPr>
              <w:t>（元）</w:t>
            </w:r>
          </w:p>
          <w:p>
            <w:pPr>
              <w:pStyle w:val="6"/>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r>
              <w:rPr>
                <w:rFonts w:hint="eastAsia"/>
                <w:color w:val="auto"/>
                <w:spacing w:val="-10"/>
                <w:highlight w:val="none"/>
              </w:rPr>
              <w:t>总报价（人民币大写）：                                       （￥                       元）</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交付使用时间：</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交付使用地点：</w:t>
            </w:r>
          </w:p>
        </w:tc>
      </w:tr>
    </w:tbl>
    <w:p>
      <w:pPr>
        <w:spacing w:line="500" w:lineRule="exact"/>
        <w:rPr>
          <w:rFonts w:ascii="宋体" w:hAnsi="宋体"/>
          <w:color w:val="auto"/>
          <w:highlight w:val="none"/>
        </w:rPr>
      </w:pPr>
      <w:r>
        <w:rPr>
          <w:rFonts w:hint="eastAsia" w:ascii="宋体" w:hAnsi="宋体"/>
          <w:color w:val="auto"/>
          <w:highlight w:val="none"/>
        </w:rPr>
        <w:t>注：1.所有价格均用人民币表示，单位为元，精确到个数位。</w:t>
      </w:r>
    </w:p>
    <w:p>
      <w:pPr>
        <w:spacing w:line="500" w:lineRule="exact"/>
        <w:ind w:firstLine="412"/>
        <w:rPr>
          <w:rFonts w:ascii="宋体" w:hAnsi="宋体"/>
          <w:color w:val="auto"/>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highlight w:val="none"/>
        </w:rPr>
        <w:t>。</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4.报价表中的“货物名称”、“数量”、“单位”、“单价”、“单项合价”列必须填写；设备类项目“品牌、型号规格、生产厂家”列必须填写（定制产品和服务除外）。</w:t>
      </w:r>
    </w:p>
    <w:p>
      <w:pPr>
        <w:pStyle w:val="6"/>
        <w:spacing w:line="500" w:lineRule="exact"/>
        <w:ind w:firstLine="420"/>
        <w:rPr>
          <w:color w:val="auto"/>
          <w:highlight w:val="none"/>
        </w:rPr>
      </w:pPr>
    </w:p>
    <w:p>
      <w:pPr>
        <w:pStyle w:val="6"/>
        <w:spacing w:line="500" w:lineRule="exact"/>
        <w:ind w:firstLine="420"/>
        <w:rPr>
          <w:color w:val="auto"/>
          <w:highlight w:val="none"/>
          <w:u w:val="single"/>
        </w:rPr>
      </w:pPr>
      <w:r>
        <w:rPr>
          <w:rFonts w:hint="eastAsia"/>
          <w:color w:val="auto"/>
          <w:highlight w:val="none"/>
        </w:rPr>
        <w:t>法定代表人或委托代理人（签字）:</w:t>
      </w:r>
      <w:r>
        <w:rPr>
          <w:rFonts w:hint="eastAsia"/>
          <w:color w:val="auto"/>
          <w:highlight w:val="none"/>
          <w:u w:val="single"/>
        </w:rPr>
        <w:t xml:space="preserve">              </w:t>
      </w:r>
    </w:p>
    <w:p>
      <w:pPr>
        <w:pStyle w:val="6"/>
        <w:spacing w:line="500" w:lineRule="exact"/>
        <w:ind w:firstLine="42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spacing w:line="500" w:lineRule="exact"/>
        <w:ind w:firstLine="420"/>
        <w:rPr>
          <w:rFonts w:hint="eastAsia" w:ascii="宋体" w:hAnsi="宋体"/>
          <w:color w:val="auto"/>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ind w:firstLine="420"/>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sz w:val="24"/>
          <w:szCs w:val="24"/>
          <w:highlight w:val="none"/>
        </w:rPr>
      </w:pPr>
      <w:r>
        <w:rPr>
          <w:rStyle w:val="12"/>
          <w:rFonts w:hint="eastAsia" w:ascii="宋体" w:hAnsi="宋体"/>
          <w:color w:val="auto"/>
          <w:sz w:val="24"/>
          <w:szCs w:val="24"/>
          <w:highlight w:val="none"/>
        </w:rPr>
        <w:t>附件</w:t>
      </w:r>
      <w:r>
        <w:rPr>
          <w:rStyle w:val="12"/>
          <w:rFonts w:hint="eastAsia" w:ascii="宋体" w:hAnsi="宋体"/>
          <w:color w:val="auto"/>
          <w:sz w:val="24"/>
          <w:szCs w:val="24"/>
          <w:highlight w:val="none"/>
          <w:lang w:val="en-US" w:eastAsia="zh-CN"/>
        </w:rPr>
        <w:t>3</w:t>
      </w:r>
      <w:r>
        <w:rPr>
          <w:rStyle w:val="12"/>
          <w:rFonts w:hint="eastAsia" w:ascii="宋体" w:hAnsi="宋体"/>
          <w:color w:val="auto"/>
          <w:sz w:val="24"/>
          <w:szCs w:val="24"/>
          <w:highlight w:val="none"/>
        </w:rPr>
        <w:t xml:space="preserve"> </w:t>
      </w:r>
    </w:p>
    <w:p>
      <w:pPr>
        <w:spacing w:line="300" w:lineRule="auto"/>
        <w:rPr>
          <w:rStyle w:val="12"/>
          <w:rFonts w:hint="eastAsia" w:ascii="宋体" w:hAnsi="宋体"/>
          <w:b/>
          <w:bCs/>
          <w:color w:val="auto"/>
          <w:highlight w:val="none"/>
        </w:rPr>
      </w:pPr>
      <w:r>
        <w:rPr>
          <w:rStyle w:val="12"/>
          <w:rFonts w:hint="eastAsia" w:ascii="宋体" w:hAnsi="宋体"/>
          <w:b/>
          <w:bCs/>
          <w:color w:val="auto"/>
          <w:highlight w:val="none"/>
        </w:rPr>
        <w:t xml:space="preserve"> </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商务、技术响应、偏离情况说明表</w:t>
      </w:r>
    </w:p>
    <w:p>
      <w:pPr>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pacing w:line="500" w:lineRule="exact"/>
        <w:rPr>
          <w:rFonts w:hint="eastAsia"/>
          <w:color w:val="auto"/>
          <w:highlight w:val="none"/>
        </w:rPr>
      </w:pPr>
      <w:r>
        <w:rPr>
          <w:rStyle w:val="12"/>
          <w:rFonts w:hint="eastAsia" w:ascii="宋体" w:hAnsi="宋体"/>
          <w:color w:val="auto"/>
          <w:highlight w:val="none"/>
        </w:rPr>
        <w:t>项目名称:</w:t>
      </w:r>
      <w:r>
        <w:rPr>
          <w:rStyle w:val="12"/>
          <w:rFonts w:hint="eastAsia" w:ascii="宋体" w:hAnsi="宋体"/>
          <w:color w:val="auto"/>
          <w:highlight w:val="none"/>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928"/>
        <w:gridCol w:w="3070"/>
        <w:gridCol w:w="1526"/>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1" w:name="_Toc173066401"/>
            <w:r>
              <w:rPr>
                <w:rFonts w:hint="eastAsia" w:ascii="宋体" w:hAnsi="宋体"/>
                <w:color w:val="auto"/>
                <w:highlight w:val="none"/>
              </w:rPr>
              <w:t>序号</w:t>
            </w:r>
            <w:bookmarkEnd w:id="1"/>
          </w:p>
        </w:tc>
        <w:tc>
          <w:tcPr>
            <w:tcW w:w="292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2" w:name="_Toc173066402"/>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需求</w:t>
            </w:r>
            <w:r>
              <w:rPr>
                <w:rFonts w:hint="eastAsia" w:ascii="宋体" w:hAnsi="宋体"/>
                <w:color w:val="auto"/>
                <w:highlight w:val="none"/>
              </w:rPr>
              <w:t>要求</w:t>
            </w:r>
            <w:bookmarkEnd w:id="2"/>
          </w:p>
        </w:tc>
        <w:tc>
          <w:tcPr>
            <w:tcW w:w="307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3" w:name="_Toc173066403"/>
            <w:r>
              <w:rPr>
                <w:rFonts w:hint="eastAsia" w:ascii="宋体" w:hAnsi="宋体"/>
                <w:color w:val="auto"/>
                <w:highlight w:val="none"/>
              </w:rPr>
              <w:t>响应文件具体响应</w:t>
            </w:r>
            <w:bookmarkEnd w:id="3"/>
          </w:p>
        </w:tc>
        <w:tc>
          <w:tcPr>
            <w:tcW w:w="1526"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4" w:name="_Toc173066404"/>
            <w:r>
              <w:rPr>
                <w:rFonts w:hint="eastAsia" w:ascii="宋体" w:hAnsi="宋体"/>
                <w:color w:val="auto"/>
                <w:highlight w:val="none"/>
              </w:rPr>
              <w:t>响应/偏离</w:t>
            </w:r>
            <w:bookmarkEnd w:id="4"/>
          </w:p>
        </w:tc>
        <w:tc>
          <w:tcPr>
            <w:tcW w:w="1419"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bookmarkStart w:id="5" w:name="_Toc173066405"/>
            <w:r>
              <w:rPr>
                <w:rFonts w:hint="eastAsia" w:ascii="宋体" w:hAnsi="宋体"/>
                <w:color w:val="auto"/>
                <w:highlight w:val="none"/>
              </w:rPr>
              <w:t>说明</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商务部分</w:t>
            </w:r>
            <w:r>
              <w:rPr>
                <w:rFonts w:hint="eastAsia"/>
                <w:color w:val="auto"/>
                <w:highlight w:val="none"/>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6" w:name="_Toc173066406"/>
            <w:r>
              <w:rPr>
                <w:rFonts w:hint="eastAsia" w:ascii="宋体" w:hAnsi="宋体"/>
                <w:color w:val="auto"/>
                <w:highlight w:val="none"/>
              </w:rPr>
              <w:t>1</w:t>
            </w:r>
            <w:bookmarkEnd w:id="6"/>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7" w:name="_Toc173066407"/>
            <w:r>
              <w:rPr>
                <w:rFonts w:hint="eastAsia" w:ascii="宋体" w:hAnsi="宋体"/>
                <w:color w:val="auto"/>
                <w:highlight w:val="none"/>
              </w:rPr>
              <w:t>2</w:t>
            </w:r>
            <w:bookmarkEnd w:id="7"/>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20" w:firstLineChars="20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8" w:name="_Toc173066408"/>
            <w:r>
              <w:rPr>
                <w:rFonts w:hint="eastAsia" w:ascii="宋体" w:hAnsi="宋体"/>
                <w:color w:val="auto"/>
                <w:highlight w:val="none"/>
              </w:rPr>
              <w:t>3</w:t>
            </w:r>
            <w:bookmarkEnd w:id="8"/>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技术部分</w:t>
            </w:r>
            <w:r>
              <w:rPr>
                <w:rFonts w:hint="eastAsia"/>
                <w:color w:val="auto"/>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1</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2</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3</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3"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nil"/>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bl>
    <w:p>
      <w:pPr>
        <w:snapToGrid w:val="0"/>
        <w:spacing w:line="360" w:lineRule="exact"/>
        <w:rPr>
          <w:rStyle w:val="12"/>
          <w:rFonts w:hint="eastAsia" w:ascii="宋体" w:hAnsi="宋体"/>
          <w:color w:val="auto"/>
          <w:highlight w:val="none"/>
        </w:rPr>
      </w:pPr>
      <w:r>
        <w:rPr>
          <w:rStyle w:val="12"/>
          <w:rFonts w:hint="eastAsia" w:ascii="宋体" w:hAnsi="宋体"/>
          <w:color w:val="auto"/>
          <w:highlight w:val="none"/>
        </w:rPr>
        <w:t>说明：</w:t>
      </w:r>
      <w:r>
        <w:rPr>
          <w:rStyle w:val="12"/>
          <w:rFonts w:hAnsi="宋体"/>
          <w:color w:val="auto"/>
          <w:highlight w:val="none"/>
        </w:rPr>
        <w:t>1</w:t>
      </w:r>
      <w:r>
        <w:rPr>
          <w:rStyle w:val="12"/>
          <w:rFonts w:ascii="宋体" w:hAnsi="宋体"/>
          <w:color w:val="auto"/>
          <w:highlight w:val="none"/>
        </w:rPr>
        <w:t>、应写明</w:t>
      </w:r>
      <w:r>
        <w:rPr>
          <w:rStyle w:val="12"/>
          <w:rFonts w:hint="eastAsia" w:ascii="宋体" w:hAnsi="宋体"/>
          <w:color w:val="auto"/>
          <w:highlight w:val="none"/>
          <w:lang w:eastAsia="zh-CN"/>
        </w:rPr>
        <w:t>采购需求</w:t>
      </w:r>
      <w:r>
        <w:rPr>
          <w:rStyle w:val="12"/>
          <w:rFonts w:hint="eastAsia" w:ascii="宋体" w:hAnsi="宋体"/>
          <w:color w:val="auto"/>
          <w:highlight w:val="none"/>
        </w:rPr>
        <w:t>文件对</w:t>
      </w:r>
      <w:r>
        <w:rPr>
          <w:rStyle w:val="12"/>
          <w:rFonts w:ascii="宋体" w:hAnsi="宋体"/>
          <w:color w:val="auto"/>
          <w:highlight w:val="none"/>
        </w:rPr>
        <w:t>商务与技术要求的</w:t>
      </w:r>
      <w:r>
        <w:rPr>
          <w:rStyle w:val="12"/>
          <w:rFonts w:hint="eastAsia" w:ascii="宋体" w:hAnsi="宋体"/>
          <w:color w:val="auto"/>
          <w:highlight w:val="none"/>
        </w:rPr>
        <w:t>响应和偏离情况</w:t>
      </w:r>
      <w:r>
        <w:rPr>
          <w:rStyle w:val="12"/>
          <w:rFonts w:ascii="宋体" w:hAnsi="宋体"/>
          <w:color w:val="auto"/>
          <w:highlight w:val="none"/>
        </w:rPr>
        <w:t>；</w:t>
      </w:r>
    </w:p>
    <w:p>
      <w:pPr>
        <w:pStyle w:val="13"/>
        <w:spacing w:line="360" w:lineRule="exact"/>
        <w:ind w:firstLine="630" w:firstLineChars="300"/>
        <w:rPr>
          <w:rStyle w:val="12"/>
          <w:rFonts w:hint="eastAsia" w:ascii="宋体" w:eastAsia="宋体"/>
          <w:color w:val="auto"/>
          <w:sz w:val="21"/>
          <w:szCs w:val="21"/>
          <w:highlight w:val="none"/>
        </w:rPr>
      </w:pPr>
      <w:r>
        <w:rPr>
          <w:rStyle w:val="12"/>
          <w:rFonts w:hint="eastAsia" w:ascii="宋体" w:eastAsia="宋体"/>
          <w:color w:val="auto"/>
          <w:sz w:val="21"/>
          <w:szCs w:val="21"/>
          <w:highlight w:val="none"/>
        </w:rPr>
        <w:t>2、应对照</w:t>
      </w:r>
      <w:r>
        <w:rPr>
          <w:rStyle w:val="12"/>
          <w:rFonts w:hint="eastAsia" w:ascii="宋体" w:eastAsia="宋体"/>
          <w:color w:val="auto"/>
          <w:sz w:val="21"/>
          <w:szCs w:val="21"/>
          <w:highlight w:val="none"/>
          <w:lang w:eastAsia="zh-CN"/>
        </w:rPr>
        <w:t>采购需求文件内容</w:t>
      </w:r>
      <w:r>
        <w:rPr>
          <w:rStyle w:val="12"/>
          <w:rFonts w:hint="eastAsia" w:ascii="宋体" w:eastAsia="宋体"/>
          <w:color w:val="auto"/>
          <w:sz w:val="21"/>
          <w:szCs w:val="21"/>
          <w:highlight w:val="none"/>
        </w:rPr>
        <w:t>，</w:t>
      </w:r>
      <w:r>
        <w:rPr>
          <w:rStyle w:val="12"/>
          <w:rFonts w:hint="eastAsia" w:ascii="宋体" w:eastAsia="宋体"/>
          <w:b/>
          <w:color w:val="auto"/>
          <w:sz w:val="21"/>
          <w:szCs w:val="21"/>
          <w:highlight w:val="none"/>
        </w:rPr>
        <w:t>逐条</w:t>
      </w:r>
      <w:r>
        <w:rPr>
          <w:rStyle w:val="12"/>
          <w:rFonts w:hint="eastAsia" w:ascii="宋体" w:eastAsia="宋体"/>
          <w:color w:val="auto"/>
          <w:sz w:val="21"/>
          <w:szCs w:val="21"/>
          <w:highlight w:val="none"/>
        </w:rPr>
        <w:t>说明所提供货物和服务已对</w:t>
      </w:r>
      <w:r>
        <w:rPr>
          <w:rStyle w:val="12"/>
          <w:rFonts w:hint="eastAsia" w:ascii="宋体" w:eastAsia="宋体"/>
          <w:color w:val="auto"/>
          <w:sz w:val="21"/>
          <w:szCs w:val="21"/>
          <w:highlight w:val="none"/>
          <w:lang w:eastAsia="zh-CN"/>
        </w:rPr>
        <w:t>采购需求</w:t>
      </w:r>
      <w:r>
        <w:rPr>
          <w:rStyle w:val="12"/>
          <w:rFonts w:hint="eastAsia" w:ascii="宋体" w:eastAsia="宋体"/>
          <w:color w:val="auto"/>
          <w:sz w:val="21"/>
          <w:szCs w:val="21"/>
          <w:highlight w:val="none"/>
        </w:rPr>
        <w:t>的商务、技术做出了实质性的响应，并申明商务、技术条文的响应和偏离。</w:t>
      </w:r>
    </w:p>
    <w:p>
      <w:pPr>
        <w:pStyle w:val="14"/>
        <w:spacing w:line="360" w:lineRule="exact"/>
        <w:rPr>
          <w:rStyle w:val="12"/>
          <w:rFonts w:hint="eastAsia" w:hAnsi="宋体"/>
          <w:color w:val="auto"/>
          <w:highlight w:val="none"/>
        </w:rPr>
      </w:pPr>
      <w:r>
        <w:rPr>
          <w:rStyle w:val="12"/>
          <w:rFonts w:hAnsi="宋体"/>
          <w:color w:val="auto"/>
          <w:highlight w:val="none"/>
        </w:rPr>
        <w:t xml:space="preserve"> </w:t>
      </w:r>
    </w:p>
    <w:p>
      <w:pPr>
        <w:pStyle w:val="14"/>
        <w:spacing w:line="360" w:lineRule="exact"/>
        <w:rPr>
          <w:rStyle w:val="12"/>
          <w:rFonts w:hint="eastAsia" w:hAnsi="宋体"/>
          <w:color w:val="auto"/>
          <w:highlight w:val="none"/>
        </w:rPr>
      </w:pPr>
    </w:p>
    <w:p>
      <w:pPr>
        <w:pStyle w:val="6"/>
        <w:spacing w:line="360" w:lineRule="exact"/>
        <w:ind w:firstLine="1470"/>
        <w:rPr>
          <w:color w:val="auto"/>
          <w:highlight w:val="none"/>
        </w:rPr>
      </w:pPr>
      <w:r>
        <w:rPr>
          <w:rFonts w:hint="eastAsia"/>
          <w:color w:val="auto"/>
          <w:highlight w:val="none"/>
        </w:rPr>
        <w:t>法定代表人或委托代理人签字:</w:t>
      </w:r>
      <w:r>
        <w:rPr>
          <w:rFonts w:hint="eastAsia"/>
          <w:color w:val="auto"/>
          <w:highlight w:val="none"/>
          <w:u w:val="single"/>
        </w:rPr>
        <w:t xml:space="preserve">                          </w:t>
      </w:r>
      <w:r>
        <w:rPr>
          <w:rFonts w:hint="eastAsia"/>
          <w:color w:val="auto"/>
          <w:highlight w:val="none"/>
        </w:rPr>
        <w:t xml:space="preserve">  </w:t>
      </w:r>
    </w:p>
    <w:p>
      <w:pPr>
        <w:pStyle w:val="6"/>
        <w:spacing w:line="500" w:lineRule="exact"/>
        <w:ind w:firstLine="147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pStyle w:val="6"/>
        <w:spacing w:line="360" w:lineRule="exact"/>
        <w:ind w:firstLine="4935"/>
        <w:rPr>
          <w:color w:val="auto"/>
          <w:highlight w:val="none"/>
          <w:u w:val="single"/>
        </w:rPr>
      </w:pPr>
    </w:p>
    <w:p>
      <w:pPr>
        <w:pStyle w:val="6"/>
        <w:spacing w:line="360" w:lineRule="exact"/>
        <w:ind w:firstLine="4935"/>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napToGrid w:val="0"/>
        <w:spacing w:line="300" w:lineRule="auto"/>
        <w:rPr>
          <w:rStyle w:val="12"/>
          <w:rFonts w:hint="eastAsia" w:ascii="宋体" w:hAnsi="宋体" w:eastAsia="宋体" w:cs="Times New Roman"/>
          <w:color w:val="auto"/>
          <w:sz w:val="24"/>
          <w:szCs w:val="24"/>
          <w:highlight w:val="none"/>
          <w:lang w:eastAsia="zh-CN"/>
        </w:rPr>
      </w:pPr>
    </w:p>
    <w:p>
      <w:pPr>
        <w:snapToGrid w:val="0"/>
        <w:spacing w:line="300" w:lineRule="auto"/>
        <w:rPr>
          <w:rStyle w:val="12"/>
          <w:rFonts w:hint="default" w:ascii="宋体" w:hAnsi="宋体" w:eastAsia="宋体" w:cs="Times New Roman"/>
          <w:color w:val="auto"/>
          <w:sz w:val="24"/>
          <w:szCs w:val="24"/>
          <w:highlight w:val="none"/>
          <w:lang w:val="en-US" w:eastAsia="zh-CN"/>
        </w:rPr>
      </w:pPr>
      <w:r>
        <w:rPr>
          <w:rStyle w:val="12"/>
          <w:rFonts w:hint="eastAsia" w:ascii="宋体" w:hAnsi="宋体" w:eastAsia="宋体" w:cs="Times New Roman"/>
          <w:color w:val="auto"/>
          <w:sz w:val="24"/>
          <w:szCs w:val="24"/>
          <w:highlight w:val="none"/>
          <w:lang w:eastAsia="zh-CN"/>
        </w:rPr>
        <w:t>附件</w:t>
      </w:r>
      <w:r>
        <w:rPr>
          <w:rStyle w:val="12"/>
          <w:rFonts w:hint="eastAsia" w:ascii="宋体" w:hAnsi="宋体" w:eastAsia="宋体" w:cs="Times New Roman"/>
          <w:color w:val="auto"/>
          <w:sz w:val="24"/>
          <w:szCs w:val="24"/>
          <w:highlight w:val="none"/>
          <w:lang w:val="en-US" w:eastAsia="zh-CN"/>
        </w:rPr>
        <w:t>4</w:t>
      </w: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r>
        <w:rPr>
          <w:rFonts w:hint="eastAsia" w:ascii="宋体" w:hAnsi="宋体" w:eastAsia="宋体" w:cs="Times New Roman"/>
          <w:b/>
          <w:color w:val="000000"/>
          <w:sz w:val="32"/>
          <w:szCs w:val="32"/>
          <w:highlight w:val="none"/>
          <w:lang w:eastAsia="zh-CN"/>
        </w:rPr>
        <w:t>投标单位信息表</w:t>
      </w:r>
      <w:bookmarkEnd w:id="0"/>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28"/>
          <w:szCs w:val="28"/>
          <w:highlight w:val="none"/>
          <w:lang w:eastAsia="zh-CN"/>
        </w:rPr>
      </w:pPr>
      <w:bookmarkStart w:id="9" w:name="_Toc30112"/>
      <w:r>
        <w:rPr>
          <w:rFonts w:hint="eastAsia" w:ascii="宋体" w:hAnsi="宋体" w:eastAsia="宋体" w:cs="宋体"/>
          <w:color w:val="auto"/>
          <w:highlight w:val="none"/>
          <w:u w:val="none"/>
          <w:lang w:eastAsia="zh-CN"/>
        </w:rPr>
        <w:t>项目名称：</w:t>
      </w:r>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237"/>
        <w:gridCol w:w="145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0" w:name="_Toc9404"/>
            <w:r>
              <w:rPr>
                <w:rFonts w:hint="eastAsia" w:ascii="宋体" w:hAnsi="宋体" w:eastAsia="宋体" w:cs="宋体"/>
                <w:color w:val="auto"/>
                <w:sz w:val="21"/>
                <w:szCs w:val="21"/>
                <w:highlight w:val="none"/>
                <w:vertAlign w:val="baseline"/>
                <w:lang w:eastAsia="zh-CN"/>
              </w:rPr>
              <w:t>投标单位名称</w:t>
            </w:r>
            <w:bookmarkEnd w:id="10"/>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1" w:name="_Toc29381"/>
            <w:r>
              <w:rPr>
                <w:rFonts w:hint="eastAsia" w:ascii="宋体" w:hAnsi="宋体" w:eastAsia="宋体" w:cs="宋体"/>
                <w:color w:val="auto"/>
                <w:sz w:val="21"/>
                <w:szCs w:val="21"/>
                <w:highlight w:val="none"/>
                <w:vertAlign w:val="baseline"/>
                <w:lang w:eastAsia="zh-CN"/>
              </w:rPr>
              <w:t>投标单位地址</w:t>
            </w:r>
            <w:bookmarkEnd w:id="11"/>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2" w:name="_Toc5567"/>
            <w:r>
              <w:rPr>
                <w:rFonts w:hint="eastAsia" w:ascii="宋体" w:hAnsi="宋体" w:eastAsia="宋体" w:cs="宋体"/>
                <w:color w:val="auto"/>
                <w:sz w:val="21"/>
                <w:szCs w:val="21"/>
                <w:highlight w:val="none"/>
                <w:vertAlign w:val="baseline"/>
                <w:lang w:eastAsia="zh-CN"/>
              </w:rPr>
              <w:t>统一社会信用代码</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开户名</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开户行</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法定代表人姓名</w:t>
            </w:r>
            <w:bookmarkEnd w:id="12"/>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3" w:name="_Toc26623"/>
            <w:r>
              <w:rPr>
                <w:rFonts w:hint="eastAsia" w:ascii="宋体" w:hAnsi="宋体" w:eastAsia="宋体" w:cs="宋体"/>
                <w:color w:val="auto"/>
                <w:sz w:val="21"/>
                <w:szCs w:val="21"/>
                <w:highlight w:val="none"/>
                <w:vertAlign w:val="baseline"/>
                <w:lang w:eastAsia="zh-CN"/>
              </w:rPr>
              <w:t>身份证号</w:t>
            </w:r>
            <w:bookmarkEnd w:id="13"/>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4" w:name="_Toc22629"/>
            <w:r>
              <w:rPr>
                <w:rFonts w:hint="eastAsia" w:ascii="宋体" w:hAnsi="宋体" w:eastAsia="宋体" w:cs="宋体"/>
                <w:color w:val="auto"/>
                <w:sz w:val="21"/>
                <w:szCs w:val="21"/>
                <w:highlight w:val="none"/>
                <w:vertAlign w:val="baseline"/>
                <w:lang w:eastAsia="zh-CN"/>
              </w:rPr>
              <w:t>委托代理人姓名</w:t>
            </w:r>
            <w:bookmarkEnd w:id="14"/>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5" w:name="_Toc18357"/>
            <w:r>
              <w:rPr>
                <w:rFonts w:hint="eastAsia" w:ascii="宋体" w:hAnsi="宋体" w:eastAsia="宋体" w:cs="宋体"/>
                <w:color w:val="auto"/>
                <w:sz w:val="21"/>
                <w:szCs w:val="21"/>
                <w:highlight w:val="none"/>
                <w:vertAlign w:val="baseline"/>
                <w:lang w:eastAsia="zh-CN"/>
              </w:rPr>
              <w:t>身份证号</w:t>
            </w:r>
            <w:bookmarkEnd w:id="15"/>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6" w:name="_Toc5742"/>
            <w:r>
              <w:rPr>
                <w:rFonts w:hint="eastAsia" w:ascii="宋体" w:hAnsi="宋体" w:eastAsia="宋体" w:cs="宋体"/>
                <w:color w:val="auto"/>
                <w:sz w:val="21"/>
                <w:szCs w:val="21"/>
                <w:highlight w:val="none"/>
                <w:vertAlign w:val="baseline"/>
                <w:lang w:eastAsia="zh-CN"/>
              </w:rPr>
              <w:t>委托代理人职务</w:t>
            </w:r>
            <w:bookmarkEnd w:id="16"/>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7" w:name="_Toc31156"/>
            <w:r>
              <w:rPr>
                <w:rFonts w:hint="eastAsia" w:ascii="宋体" w:hAnsi="宋体" w:eastAsia="宋体" w:cs="宋体"/>
                <w:color w:val="auto"/>
                <w:sz w:val="21"/>
                <w:szCs w:val="21"/>
                <w:highlight w:val="none"/>
                <w:vertAlign w:val="baseline"/>
                <w:lang w:eastAsia="zh-CN"/>
              </w:rPr>
              <w:t>联系电话</w:t>
            </w:r>
            <w:bookmarkEnd w:id="17"/>
          </w:p>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8" w:name="_Toc12611"/>
            <w:r>
              <w:rPr>
                <w:rFonts w:hint="eastAsia" w:ascii="宋体" w:hAnsi="宋体" w:eastAsia="宋体" w:cs="宋体"/>
                <w:color w:val="auto"/>
                <w:sz w:val="21"/>
                <w:szCs w:val="21"/>
                <w:highlight w:val="none"/>
                <w:vertAlign w:val="baseline"/>
                <w:lang w:eastAsia="zh-CN"/>
              </w:rPr>
              <w:t>（手机号）</w:t>
            </w:r>
            <w:bookmarkEnd w:id="18"/>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9" w:name="_Toc14183"/>
            <w:r>
              <w:rPr>
                <w:rFonts w:hint="eastAsia" w:ascii="宋体" w:hAnsi="宋体" w:eastAsia="宋体" w:cs="宋体"/>
                <w:color w:val="auto"/>
                <w:sz w:val="21"/>
                <w:szCs w:val="21"/>
                <w:highlight w:val="none"/>
                <w:vertAlign w:val="baseline"/>
                <w:lang w:eastAsia="zh-CN"/>
              </w:rPr>
              <w:t>邮箱（</w:t>
            </w:r>
            <w:r>
              <w:rPr>
                <w:rFonts w:hint="eastAsia" w:ascii="宋体" w:hAnsi="宋体" w:eastAsia="宋体" w:cs="宋体"/>
                <w:color w:val="auto"/>
                <w:sz w:val="21"/>
                <w:szCs w:val="21"/>
                <w:highlight w:val="none"/>
                <w:vertAlign w:val="baseline"/>
                <w:lang w:val="en-US" w:eastAsia="zh-CN"/>
              </w:rPr>
              <w:t>E-MAIL</w:t>
            </w:r>
            <w:r>
              <w:rPr>
                <w:rFonts w:hint="eastAsia" w:ascii="宋体" w:hAnsi="宋体" w:eastAsia="宋体" w:cs="宋体"/>
                <w:color w:val="auto"/>
                <w:sz w:val="21"/>
                <w:szCs w:val="21"/>
                <w:highlight w:val="none"/>
                <w:vertAlign w:val="baseline"/>
                <w:lang w:eastAsia="zh-CN"/>
              </w:rPr>
              <w:t>）</w:t>
            </w:r>
            <w:bookmarkEnd w:id="19"/>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0" w:name="_Toc27573"/>
            <w:r>
              <w:rPr>
                <w:rFonts w:hint="eastAsia" w:ascii="宋体" w:hAnsi="宋体" w:eastAsia="宋体" w:cs="宋体"/>
                <w:color w:val="auto"/>
                <w:sz w:val="21"/>
                <w:szCs w:val="21"/>
                <w:highlight w:val="none"/>
                <w:vertAlign w:val="baseline"/>
                <w:lang w:eastAsia="zh-CN"/>
              </w:rPr>
              <w:t>传</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真</w:t>
            </w:r>
            <w:bookmarkEnd w:id="20"/>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1" w:name="_Toc21256"/>
            <w:r>
              <w:rPr>
                <w:rFonts w:hint="eastAsia" w:ascii="宋体" w:hAnsi="宋体" w:eastAsia="宋体" w:cs="宋体"/>
                <w:color w:val="auto"/>
                <w:sz w:val="21"/>
                <w:szCs w:val="21"/>
                <w:highlight w:val="none"/>
                <w:vertAlign w:val="baseline"/>
                <w:lang w:eastAsia="zh-CN"/>
              </w:rPr>
              <w:t>通讯地址</w:t>
            </w:r>
            <w:bookmarkEnd w:id="21"/>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rPr>
            </w:pPr>
            <w:bookmarkStart w:id="22" w:name="_Toc18181"/>
            <w:r>
              <w:rPr>
                <w:rFonts w:hint="eastAsia" w:ascii="宋体" w:hAnsi="宋体" w:eastAsia="宋体" w:cs="宋体"/>
                <w:color w:val="auto"/>
                <w:sz w:val="21"/>
                <w:szCs w:val="21"/>
                <w:highlight w:val="none"/>
                <w:vertAlign w:val="baseline"/>
                <w:lang w:eastAsia="zh-CN"/>
              </w:rPr>
              <w:t>邮</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编</w:t>
            </w:r>
            <w:bookmarkEnd w:id="22"/>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bl>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bookmarkStart w:id="23" w:name="_Toc2332"/>
      <w:r>
        <w:rPr>
          <w:rFonts w:hint="eastAsia" w:ascii="宋体" w:hAnsi="宋体" w:eastAsia="宋体" w:cs="宋体"/>
          <w:color w:val="auto"/>
          <w:sz w:val="21"/>
          <w:szCs w:val="21"/>
          <w:highlight w:val="none"/>
          <w:lang w:eastAsia="zh-CN"/>
        </w:rPr>
        <w:t>注：投标单位信息表须加盖投标单位公章。</w:t>
      </w:r>
      <w:bookmarkEnd w:id="23"/>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02558D0"/>
    <w:rsid w:val="0A0361A3"/>
    <w:rsid w:val="27DA29E2"/>
    <w:rsid w:val="3E1E137B"/>
    <w:rsid w:val="5B31397F"/>
    <w:rsid w:val="72B3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420" w:leftChars="200" w:firstLine="420" w:firstLineChars="200"/>
    </w:pPr>
    <w:rPr>
      <w:rFonts w:ascii="Times New Roman" w:eastAsia="宋体"/>
      <w:sz w:val="21"/>
      <w:szCs w:val="24"/>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Normal Indent"/>
    <w:basedOn w:val="1"/>
    <w:next w:val="1"/>
    <w:qFormat/>
    <w:uiPriority w:val="0"/>
    <w:pPr>
      <w:ind w:firstLine="420"/>
    </w:pPr>
    <w:rPr>
      <w:rFonts w:ascii="Calibri" w:hAnsi="Calibri"/>
      <w:szCs w:val="20"/>
    </w:rPr>
  </w:style>
  <w:style w:type="paragraph" w:styleId="6">
    <w:name w:val="Plain Text"/>
    <w:basedOn w:val="1"/>
    <w:qFormat/>
    <w:uiPriority w:val="0"/>
    <w:rPr>
      <w:rFonts w:ascii="宋体" w:hAnsi="Courier New"/>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2">
    <w:name w:val="15"/>
    <w:qFormat/>
    <w:uiPriority w:val="0"/>
    <w:rPr>
      <w:rFonts w:hint="default" w:ascii="Times New Roman" w:hAnsi="Times New Roman" w:cs="Times New Roman"/>
    </w:rPr>
  </w:style>
  <w:style w:type="paragraph" w:customStyle="1" w:styleId="13">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14">
    <w:name w:val="PlainText"/>
    <w:basedOn w:val="1"/>
    <w:qFormat/>
    <w:uiPriority w:val="0"/>
    <w:pPr>
      <w:widowControl/>
      <w:textAlignment w:val="baseline"/>
    </w:pPr>
    <w:rPr>
      <w:rFonts w:ascii="宋体" w:hAnsi="Courier New"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3183</Words>
  <Characters>3480</Characters>
  <Lines>0</Lines>
  <Paragraphs>0</Paragraphs>
  <TotalTime>406</TotalTime>
  <ScaleCrop>false</ScaleCrop>
  <LinksUpToDate>false</LinksUpToDate>
  <CharactersWithSpaces>3905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2023-10-08T08:16:00Z</dcterms:created>
  <dc:creator>Administrator</dc:creator>
  <cp:lastModifiedBy>Ace</cp:lastModifiedBy>
  <dcterms:modified xsi:type="dcterms:W3CDTF">2023-10-11T08:34:38Z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1B27E6CEDAB64207A6BCC8DAB2B2129A_13</vt:lpwstr>
  </property>
</Properties>
</file>